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Дайджест мероприятий от центра поддержки предпринимательства «Мой бизнес» на 14 февраля – 18 февраля 2022 года 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Прямая линия «Допрос в налоговой инспекции: процедура, права и обязанности свидетеля»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Мероприятие проходит в рамках цикла вебинаров «Диалоги о налогах». Прямая линия посвящена особенностям проведения допроса налоговым органом (участия свидетеля). Вызов свидетеля является одним из самых частых мероприятий контроля, реализуемым при проведении камеральных и выездных проверок.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Предварительные вопросы могут быть направлены на e-mail call@zpp-perm.ru, а также оставлены в виде комментариев в социальных сетях во время трансляции мероприятия.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14 февраля 2022 года. Начало в 10.00. Участие бесплатное. Формат проведения – онлайн. Регистрация по ссылке </w:t>
      </w:r>
      <w:hyperlink r:id="rId2">
        <w:r>
          <w:rPr>
            <w:rFonts w:ascii="Times New Roman" w:hAnsi="Times New Roman"/>
            <w:sz w:val="24"/>
            <w:szCs w:val="24"/>
          </w:rPr>
          <w:t>https://msppk.ru/events/dopros-v-nalogovoy-inspektsii-protsedura-prava-i-obyazannosti-svidetelya/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Вебинар «Федеральные стандарты бухгалтерского учета. ФСБУ 25/2018 «Бухгалтерский учет аренды»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 период с 15 по 28 февраля 2022 года состоится цикл вебинаров на тему «Федеральные стандарты бухгалтерского учета».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Начиная с бухгалтерской (финансовой) отчетности за 2022 год необходимо применять;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ФСБУ 25/2018 «Бухгалтерский учет аренды»,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ФСБУ 6/2020 «Основные средства»,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ФСБУ 27/2021 «Документы и документооборот в бухгалтерском учете».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15 февраля приглашаем принять участие в первом вебинаре на тему ФСБУ 25/2018 «Бухгалтерский учет аренды».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15 февраля 2022 года. Начало в 10.00. Участие бесплатное. Формат проведения – онлайн. Регистрация по ссылке </w:t>
      </w:r>
      <w:hyperlink r:id="rId3">
        <w:r>
          <w:rPr>
            <w:rFonts w:ascii="Times New Roman" w:hAnsi="Times New Roman"/>
            <w:sz w:val="24"/>
            <w:szCs w:val="24"/>
          </w:rPr>
          <w:t>https://msppk.ru/events/federalnye-standarty-bukhgalterskogo-ucheta-fsbu-25-2018-bukhgalterskiy-uchet-arendy/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Консультация по возможности включения субъектов МСП в Реестр социальных предприятий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Агентство по развитию малого и среднего предпринимательства Пермского края объявляет о проведении информационной кампании по вопросам возможности включения субъектов малого и среднего предпринимательства (субъектов МСП) в перечень субъектов МСП, имеющих статус социального предприятия, а также о мерах поддержки социальных предприятий региона.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15 февраля 2022 года. Начало в 11.00. Участие бесплатное. Место проведения: онлайн. Регистрация по ссылке </w:t>
      </w:r>
      <w:hyperlink r:id="rId4">
        <w:r>
          <w:rPr>
            <w:rFonts w:ascii="Times New Roman" w:hAnsi="Times New Roman"/>
            <w:sz w:val="24"/>
            <w:szCs w:val="24"/>
          </w:rPr>
          <w:t>https://msppk.ru/events/konsultatsiya-po-vozmozhnosti-vklyucheniya-subektov-msp-v-reestr-sotsialnykh-predpriyatiy/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Прямая линия «Страховые взносы: исчисление и типовые ошибки»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Мероприятие проходит в рамках цикла вебинаров «Диалоги о налогах». Прямая линия посвящена особенностям и порядку исчисления и оплаты сумм страховых взносов как при начислении заработной платы и иных вознаграждений, так и оплаты страховых взносов индивидуальными предпринимателями.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Предварительные вопросы могут быть направлены на e-mail: call@zpp-perm.ru, а также оставлены в виде комментариев в социальных сетях во время трансляции мероприятия.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16 февраля 2022 года. Начало в 10.00. Участие бесплатное. Формат проведения – онлайн. Регистрация по ссылке </w:t>
      </w:r>
      <w:hyperlink r:id="rId5">
        <w:r>
          <w:rPr>
            <w:rFonts w:ascii="Times New Roman" w:hAnsi="Times New Roman"/>
            <w:sz w:val="24"/>
            <w:szCs w:val="24"/>
          </w:rPr>
          <w:t>https://msppk.ru/events/strakhovye-vznosy-ischislenie-i-tipovye-oshibki/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Вебинар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cs="Calibri" w:ascii="Times New Roman" w:hAnsi="Times New Roman" w:cstheme="minorHAnsi"/>
          <w:b/>
          <w:sz w:val="24"/>
          <w:szCs w:val="24"/>
        </w:rPr>
        <w:t>ТОП-20 популярных категорий товаров на eBay, Etsy, Amazon»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На вебинаре расскажем о том, как адаптировать товар под зарубежный рынок и подготовить качественный контент для размещения на площадке – что больше всего притягивает иностранных покупателей.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 программе: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ключевые моменты настройки платежных систем и политик на маркетплейсах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как провести ценообразование исходя из комиссий маркетплейсов,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какие налоги вам необходимо будет учесть в себестоимости товаров.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17 февраля 2022 года. Начало в 13.00. Участие бесплатное. Формат проведения – онлайн. Регистрация по ссылке </w:t>
      </w:r>
      <w:hyperlink r:id="rId6">
        <w:r>
          <w:rPr>
            <w:rFonts w:ascii="Times New Roman" w:hAnsi="Times New Roman"/>
            <w:sz w:val="24"/>
            <w:szCs w:val="24"/>
          </w:rPr>
          <w:t>https://msppk.ru/events/top-20-populyarnykh-kategoriy-tovarov-na-ebay-etsy-amazon/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Публичные обсуждения результатов правоприменительной практики налоговых органов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Управление ФНС по Пермскому краю приглашает на публичные обсуждения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правоприменительной практики налоговых органов.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 программе: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Результаты декларационной кампании 2021 года и актуальные вопросы декларирования доходов граждан за 2021 год.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Основные изменения налогового законодательства по налогу на добавленную стоимость, налогу на прибыль организаций, УСН и ПСН в 2021-2022 годах.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17 февраля 2022 года. Начало в 15.00. Формат проведения – онлайн. Участие бесплатное. Регистрация по ссылке </w:t>
      </w:r>
      <w:hyperlink r:id="rId7">
        <w:r>
          <w:rPr>
            <w:rFonts w:cs="Calibri" w:ascii="Times New Roman" w:hAnsi="Times New Roman" w:cstheme="minorHAnsi"/>
            <w:sz w:val="24"/>
            <w:szCs w:val="24"/>
          </w:rPr>
          <w:t>https://msppk.ru/events/publichnye-obsuzhdeniya-rezultatov-pravoprimenitelnoy-praktiki/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Вебинар «Федеральные стандарты бухгалтерского учета. ФСБУ 6/2020 «Основные средства»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 период с 15 по 28 февраля 2022 года состоится цикл вебинаров на тему «Федеральные стандарты бухгалтерского учета».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18 февраля приглашаем принять участие во втором вебинаре на тему ФСБУ 6/2020 «Основные средства».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Программа: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Сферы действия стандартов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Переходные положения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Особенности применения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Ответы на вопросы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18 февраля 2022 года. Начало в 10.00. Формат проведения – онлайн. Участие бесплатное. Регистрация по ссылке </w:t>
      </w:r>
      <w:hyperlink r:id="rId8">
        <w:r>
          <w:rPr>
            <w:rFonts w:cs="Calibri" w:ascii="Times New Roman" w:hAnsi="Times New Roman" w:cstheme="minorHAnsi"/>
            <w:sz w:val="24"/>
            <w:szCs w:val="24"/>
          </w:rPr>
          <w:t>https://msppk.ru/events/federalnye-standarty-bukhgalterskogo-ucheta-fsbu-6-2020-osnovnye-sredstva/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Организатор обучающих мероприятий: </w:t>
      </w:r>
      <w:r>
        <w:rPr>
          <w:rFonts w:cs="Calibri" w:ascii="Times New Roman" w:hAnsi="Times New Roman"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sectPr>
      <w:headerReference w:type="default" r:id="rId9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t xml:space="preserve">      </w:t>
    </w:r>
    <w:r>
      <w:rPr/>
      <w:drawing>
        <wp:inline distT="0" distB="0" distL="0" distR="0">
          <wp:extent cx="632460" cy="485775"/>
          <wp:effectExtent l="0" t="0" r="0" b="0"/>
          <wp:docPr id="1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  <w:r>
      <w:rPr/>
      <w:drawing>
        <wp:inline distT="0" distB="0" distL="0" distR="0">
          <wp:extent cx="1107440" cy="494030"/>
          <wp:effectExtent l="0" t="0" r="0" b="0"/>
          <wp:docPr id="2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ru-RU"/>
      </w:rPr>
      <w:t xml:space="preserve">          </w:t>
    </w:r>
    <w:r>
      <w:rPr/>
      <w:drawing>
        <wp:inline distT="0" distB="0" distL="0" distR="0">
          <wp:extent cx="1149985" cy="390525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ru-RU"/>
      </w:rPr>
      <w:t xml:space="preserve">            </w:t>
    </w:r>
    <w:r>
      <w:rPr/>
      <w:drawing>
        <wp:inline distT="0" distB="0" distL="0" distR="0">
          <wp:extent cx="1007110" cy="413385"/>
          <wp:effectExtent l="0" t="0" r="0" b="0"/>
          <wp:docPr id="4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7c5b9b"/>
    <w:rPr>
      <w:color w:val="800080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d95cb3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d95cb3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d95cb3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95c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b"/>
    <w:uiPriority w:val="99"/>
    <w:unhideWhenUsed/>
    <w:rsid w:val="00d95c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unhideWhenUsed/>
    <w:rsid w:val="00d95c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dopros-v-nalogovoy-inspektsii-protsedura-prava-i-obyazannosti-svidetelya/" TargetMode="External"/><Relationship Id="rId3" Type="http://schemas.openxmlformats.org/officeDocument/2006/relationships/hyperlink" Target="https://msppk.ru/events/federalnye-standarty-bukhgalterskogo-ucheta-fsbu-25-2018-bukhgalterskiy-uchet-arendy/" TargetMode="External"/><Relationship Id="rId4" Type="http://schemas.openxmlformats.org/officeDocument/2006/relationships/hyperlink" Target="https://msppk.ru/events/konsultatsiya-po-vozmozhnosti-vklyucheniya-subektov-msp-v-reestr-sotsialnykh-predpriyatiy/" TargetMode="External"/><Relationship Id="rId5" Type="http://schemas.openxmlformats.org/officeDocument/2006/relationships/hyperlink" Target="https://msppk.ru/events/strakhovye-vznosy-ischislenie-i-tipovye-oshibki/" TargetMode="External"/><Relationship Id="rId6" Type="http://schemas.openxmlformats.org/officeDocument/2006/relationships/hyperlink" Target="https://msppk.ru/events/top-20-populyarnykh-kategoriy-tovarov-na-ebay-etsy-amazon/" TargetMode="External"/><Relationship Id="rId7" Type="http://schemas.openxmlformats.org/officeDocument/2006/relationships/hyperlink" Target="https://msppk.ru/events/publichnye-obsuzhdeniya-rezultatov-pravoprimenitelnoy-praktiki/" TargetMode="External"/><Relationship Id="rId8" Type="http://schemas.openxmlformats.org/officeDocument/2006/relationships/hyperlink" Target="https://msppk.ru/events/federalnye-standarty-bukhgalterskogo-ucheta-fsbu-6-2020-osnovnye-sredstva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Application>LibreOffice/6.4.6.2$Windows_X86_64 LibreOffice_project/0ce51a4fd21bff07a5c061082cc82c5ed232f115</Application>
  <Pages>3</Pages>
  <Words>611</Words>
  <Characters>4788</Characters>
  <CharactersWithSpaces>5387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/>
  <dcterms:modified xsi:type="dcterms:W3CDTF">2022-02-11T13:36:51Z</dcterms:modified>
  <cp:revision>271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