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D7" w:rsidRDefault="00226DD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6DD7" w:rsidRDefault="00226DD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26D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DD7" w:rsidRDefault="00226DD7">
            <w:pPr>
              <w:pStyle w:val="ConsPlusNormal"/>
            </w:pPr>
            <w:r>
              <w:t>4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DD7" w:rsidRDefault="00226DD7">
            <w:pPr>
              <w:pStyle w:val="ConsPlusNormal"/>
              <w:jc w:val="right"/>
            </w:pPr>
            <w:r>
              <w:t>N 627-ПК</w:t>
            </w:r>
          </w:p>
        </w:tc>
      </w:tr>
    </w:tbl>
    <w:p w:rsidR="00226DD7" w:rsidRDefault="00226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jc w:val="center"/>
      </w:pPr>
      <w:r>
        <w:t>ПЕРМСКИЙ КРАЙ</w:t>
      </w:r>
    </w:p>
    <w:p w:rsidR="00226DD7" w:rsidRDefault="00226DD7">
      <w:pPr>
        <w:pStyle w:val="ConsPlusTitle"/>
        <w:jc w:val="center"/>
      </w:pPr>
    </w:p>
    <w:p w:rsidR="00226DD7" w:rsidRDefault="00226DD7">
      <w:pPr>
        <w:pStyle w:val="ConsPlusTitle"/>
        <w:jc w:val="center"/>
      </w:pPr>
      <w:r>
        <w:t>ЗАКОН</w:t>
      </w:r>
    </w:p>
    <w:p w:rsidR="00226DD7" w:rsidRDefault="00226DD7">
      <w:pPr>
        <w:pStyle w:val="ConsPlusTitle"/>
        <w:jc w:val="center"/>
      </w:pPr>
    </w:p>
    <w:p w:rsidR="00226DD7" w:rsidRDefault="00226DD7">
      <w:pPr>
        <w:pStyle w:val="ConsPlusTitle"/>
        <w:jc w:val="center"/>
      </w:pPr>
      <w:r>
        <w:t>ОБ ОБЕСПЕЧЕНИИ БЕСПРЕПЯТСТВЕННОГО ДОСТУПА ИНВАЛИДОВ И ДРУГИХ</w:t>
      </w:r>
    </w:p>
    <w:p w:rsidR="00226DD7" w:rsidRDefault="00226DD7">
      <w:pPr>
        <w:pStyle w:val="ConsPlusTitle"/>
        <w:jc w:val="center"/>
      </w:pPr>
      <w:r>
        <w:t>МАЛОМОБИЛЬНЫХ ГРУПП НАСЕЛЕНИЯ К ИНФОРМАЦИИ, ОБЪЕКТАМ</w:t>
      </w:r>
    </w:p>
    <w:p w:rsidR="00226DD7" w:rsidRDefault="00226DD7">
      <w:pPr>
        <w:pStyle w:val="ConsPlusTitle"/>
        <w:jc w:val="center"/>
      </w:pPr>
      <w:r>
        <w:t>СОЦИАЛЬНОЙ, ИНЖЕНЕРНОЙ И ТРАНСПОРТНОЙ ИНФРАСТРУКТУР</w:t>
      </w:r>
    </w:p>
    <w:p w:rsidR="00226DD7" w:rsidRDefault="00226DD7">
      <w:pPr>
        <w:pStyle w:val="ConsPlusTitle"/>
        <w:jc w:val="center"/>
      </w:pPr>
      <w:r>
        <w:t>ПЕРМСКОГО КРАЯ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jc w:val="right"/>
      </w:pPr>
      <w:proofErr w:type="gramStart"/>
      <w:r>
        <w:t>Принят</w:t>
      </w:r>
      <w:proofErr w:type="gramEnd"/>
    </w:p>
    <w:p w:rsidR="00226DD7" w:rsidRDefault="00226DD7">
      <w:pPr>
        <w:pStyle w:val="ConsPlusNormal"/>
        <w:jc w:val="right"/>
      </w:pPr>
      <w:r>
        <w:t>Законодательным Собранием</w:t>
      </w:r>
    </w:p>
    <w:p w:rsidR="00226DD7" w:rsidRDefault="00226DD7">
      <w:pPr>
        <w:pStyle w:val="ConsPlusNormal"/>
        <w:jc w:val="right"/>
      </w:pPr>
      <w:r>
        <w:t>Пермского края</w:t>
      </w:r>
    </w:p>
    <w:p w:rsidR="00226DD7" w:rsidRDefault="00226DD7">
      <w:pPr>
        <w:pStyle w:val="ConsPlusNormal"/>
        <w:jc w:val="right"/>
      </w:pPr>
      <w:r>
        <w:t>17 марта 2016 года</w:t>
      </w:r>
    </w:p>
    <w:p w:rsidR="00226DD7" w:rsidRDefault="00226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6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6DD7" w:rsidRDefault="00226D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DD7" w:rsidRDefault="00226D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06.02.2019 N 336-ПК)</w:t>
            </w:r>
          </w:p>
        </w:tc>
      </w:tr>
    </w:tbl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регулирует отношения, связанные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r>
        <w:t>1. В настоящем Законе используются следующие основные понятия: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инвалид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маломобильные группы населения - лица пожилого возраста; иные лица с ограниченными возможностями самостоятельно передвигаться, ориентироваться, общаться, получать услугу и необходимую информацию, вынужденные в силу устойчивого или временного физического недостатка использовать для своего передвижения необходимые средства, приспособления; беременные женщины, а также граждане с малолетними детьми, в том числе использующие детские коляски;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социальная, инженерная и транспортная инфраструктуры - комплекс сооружений и коммуникаций транспорта, связи, а также объектов социального и культурно-бытового обслуживания населения, расположенных на территории Пермского края.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том же значении,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от 24 ноября 1995 года N 181-ФЗ "О социальной защите инвалидов в Российской Федерации".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 xml:space="preserve">Статья 2. Правовое регулирование отношений, связанных с обеспечением условий для беспрепятственного доступа инвалидов и других маломобильных групп населения к </w:t>
      </w:r>
      <w:r>
        <w:lastRenderedPageBreak/>
        <w:t>информации, объектам социальной, инженерной и транспортной инфраструктур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r>
        <w:t>Правовые отношения, связанные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инфраструктур, регулируются федеральными законами, иными нормативными правовыми актами Российской Федерации, настоящим Законом, иными нормативными правовыми актами Пермского края.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>Статья 3. Объекты социальной, инженерной и транспортной инфраструктур, на которых обеспечиваются условия для беспрепятственного доступа инвалидов и других маломобильных групп населения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r>
        <w:t>1. К объектам социальной, инженерной и транспортной инфраструктур, на которых обеспечиваются условия для беспрепятственного доступа инвалидов и других маломобильных групп населения, относятся: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жилые здания;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административные здания и сооружения;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культурно-зрелищные учреждения и организации (театры, кинотеатры, концертные залы и площадки, библиотеки, музеи, места отправления религиозных обрядов и другие);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учреждения и организации образования и науки, здравоохранения и социальной защиты населения;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общественные и производственные здания, финансово-банковские учреждения и организации;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объекты торговли, торговые и торгово-развлекательные комплексы;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гостиницы и иные здания, предназначенные для временного проживания;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физкультурно-оздоровительные, спортивные сооружения, места отдыха, парки, сады, лесопарки, пляжи и находящиеся на их территориях объекты и сооружения оздоровительного и рекреационного назначения, аллеи и пешеходные дорожки;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железнодорожные вокзалы, автовокзалы, аэропорты, другие объекты автомобильного, железнодорожного, водного и воздушного транспорта, предназначенные для обслуживания населения;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станции и остановки всех видов городского, пригородного и междугородного общественного транспорта, объекты придорожного сервиса;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здания и сооружения, предназначенные для пользования средствами связи и информации;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тротуары, переходы улиц, дорог и магистралей, светофоры;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другие объекты, здания, строения и сооружения, предназначенные для беспрепятственного доступа инвалидов и других маломобильных групп населения.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</w:t>
      </w:r>
      <w:r>
        <w:lastRenderedPageBreak/>
        <w:t>парковки транспортных средств, управляемых инвалидами I, II групп, а</w:t>
      </w:r>
      <w:proofErr w:type="gramEnd"/>
      <w:r>
        <w:t xml:space="preserve">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"Инвалид", выданный для индивидуального использования в порядке, установленном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226DD7" w:rsidRDefault="00226D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06.02.2019 N 336-ПК)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>Статья 4. Обеспечение беспрепятственного доступа инвалидов и других маломобильных групп населения к объектам социальной, инженерной и транспортной инфраструктур</w:t>
      </w:r>
    </w:p>
    <w:p w:rsidR="00226DD7" w:rsidRDefault="00226DD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6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6DD7" w:rsidRDefault="00226DD7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1 статьи 4 в части обеспечения доступности для инвалидов объектов социальной, инженерной и транспортной инфраструктур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w:anchor="P103" w:history="1">
              <w:r>
                <w:rPr>
                  <w:color w:val="0000FF"/>
                </w:rPr>
                <w:t>абзац второй части 1 статьи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26DD7" w:rsidRDefault="00226DD7">
      <w:pPr>
        <w:pStyle w:val="ConsPlusNormal"/>
        <w:spacing w:before="280"/>
        <w:ind w:firstLine="540"/>
        <w:jc w:val="both"/>
      </w:pPr>
      <w:bookmarkStart w:id="0" w:name="P56"/>
      <w:bookmarkEnd w:id="0"/>
      <w:r>
        <w:t>1. Органы государственной власти Пермского края, органы местного самоуправления муниципальных образований Пермского края (далее - органы местного самоуправления), организации независимо от их организационно-правовых форм в пределах установленных полномочий обеспечивают инвалидам (включая инвалидов, использующих кресла-коляски и собак-проводников) и другим маломобильным группам населения: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инфраструктур, к местам отдыха и предоставляемым в них услугам;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26DD7" w:rsidRDefault="00226DD7">
      <w:pPr>
        <w:pStyle w:val="ConsPlusNormal"/>
        <w:spacing w:before="220"/>
        <w:ind w:firstLine="540"/>
        <w:jc w:val="both"/>
      </w:pPr>
      <w:proofErr w:type="gramStart"/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lastRenderedPageBreak/>
        <w:t>правовому регулированию в сфере социальной защиты населения;</w:t>
      </w:r>
      <w:proofErr w:type="gramEnd"/>
    </w:p>
    <w:p w:rsidR="00226DD7" w:rsidRDefault="00226DD7">
      <w:pPr>
        <w:pStyle w:val="ConsPlusNormal"/>
        <w:spacing w:before="22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2. Органами исполнительной власти Пермского края,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Пермского края.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других маломобильных групп населения не допускаются.</w:t>
      </w:r>
      <w:proofErr w:type="gramEnd"/>
    </w:p>
    <w:p w:rsidR="00226DD7" w:rsidRDefault="00226DD7">
      <w:pPr>
        <w:pStyle w:val="ConsPlusNormal"/>
        <w:spacing w:before="220"/>
        <w:ind w:firstLine="540"/>
        <w:jc w:val="both"/>
      </w:pPr>
      <w: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соответствующего муниципального образования Пермского края,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Порядок согласования с общественными объединениями инвалидов и случаи, в которых невозможно полностью приспособить существующие объекты социальной, инженерной и транспортной инфраструктур с учетом потребностей инвалидов, устанавливаются нормативным правовым актом Правительства Пермского края.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4. 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5. Мероприятия по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средствам связи и информации, по оборудованию транспортных сре</w:t>
      </w:r>
      <w:proofErr w:type="gramStart"/>
      <w:r>
        <w:t>дств сп</w:t>
      </w:r>
      <w:proofErr w:type="gramEnd"/>
      <w:r>
        <w:t>ециальными приспособлениями и устройствами для перевозки инвалидов включаются в государственные программы Пермского края и муниципальные программы муниципальных образований Пермского края. Правительство Пермского края и органы местного самоуправления разрабатывают данные мероприятия с учетом предложений общественных организаций инвалидов.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6.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>Статья 5. Обеспечение беспрепятственного доступа инвалидов к информации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r>
        <w:t xml:space="preserve">Органы государственной власти Пермского края и органы местного самоуправления </w:t>
      </w:r>
      <w:r>
        <w:lastRenderedPageBreak/>
        <w:t>обеспечивают условия доступности для инвалидов по зрению своих официальных сайтов в сети "Интернет" в соответствии с законодательством Российской Федерации.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 xml:space="preserve">Органы государственной власти Пермского края и органы местного самоуправления создают условия </w:t>
      </w:r>
      <w:proofErr w:type="gramStart"/>
      <w:r>
        <w:t>в подведомственных учреждениях для получения инвалидами по слуху услуг по переводу с использованием</w:t>
      </w:r>
      <w:proofErr w:type="gramEnd"/>
      <w:r>
        <w:t xml:space="preserve"> русского жестового языка.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 xml:space="preserve">Уполномоченные органы оказывают инвалидам помощь в получении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, предоставлении </w:t>
      </w:r>
      <w:proofErr w:type="spellStart"/>
      <w:r>
        <w:t>сурдотехники</w:t>
      </w:r>
      <w:proofErr w:type="spellEnd"/>
      <w:r>
        <w:t xml:space="preserve">, обеспечении </w:t>
      </w:r>
      <w:proofErr w:type="spellStart"/>
      <w:r>
        <w:t>тифлосредствами</w:t>
      </w:r>
      <w:proofErr w:type="spellEnd"/>
      <w:r>
        <w:t>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Правительство Пермского края предусматривает ежегодное выделение сре</w:t>
      </w:r>
      <w:proofErr w:type="gramStart"/>
      <w:r>
        <w:t>дств в пр</w:t>
      </w:r>
      <w:proofErr w:type="gramEnd"/>
      <w:r>
        <w:t>еделах бюджетных ассигнований организациям, осуществляющим информационное обеспечение инвалидов, на поддержку периодических печатных изданий для инвалидов, укрепление материально-технической базы редакций, издательств, выпускающих литературу для инвалидов.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>Статья 6. Участие общественных объединений инвалидов в решении вопросов, связанных с обеспечением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r>
        <w:t>Общественные объединения инвалидов имеют право на объективную, достоверную и полную информацию об условиях доступности для инвалидов и других маломобильных групп населения информации, объектов социальной, инженерной и транспортной инфраструктур.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Общественные объединения инвалидов вправе обращаться в органы государственной власти Пермского края, органы местного самоуправления с предложениями по улучшению условий доступности для инвалидов и других маломобильных групп населения информации, объектов социальной, инженерной и транспортной инфраструктур.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Органы государственной власти Пермского края, органы местного самоуправления, организации независимо от их организационно-правовых форм привлекают полномочных представителей общественных объединений инвалидов для подготовки и принятия решений, связанных с обеспечением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Полномочные представители общественных объединений инвалидов принимают участие в работе комиссий по приемке в эксплуатацию объектов социальной, инженерной и транспортной инфраструктур.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выполнением нормативных требований в части 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требований законодательства в части 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на всех стадиях проектирования, строительства, реконструкции, капитального ремонта зданий, сооружений, транспортных коммуникаций, благоустройства территорий осуществляется в соответствии с законодательством Российской Федерации.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>Статья 8. Ответственность за уклонение от исполнения требований по обеспечению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proofErr w:type="gramStart"/>
      <w:r>
        <w:lastRenderedPageBreak/>
        <w:t>Юридические и должностные лица за уклонение от исполнения предусмотренных нормативными правовыми актами требований к созданию условий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</w:t>
      </w:r>
      <w:proofErr w:type="gramEnd"/>
      <w:r>
        <w:t xml:space="preserve"> с федеральным законодательством.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>Статья 9. Финансовое обеспечение условий беспрепятственного доступа к информации, объектам социальной, инженерной и транспортной инфраструктур Пермского края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r>
        <w:t>Расходы на создание условий 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 осуществляются в пределах бюджетных ассигнований, ежегодно предусматриваемых на эти цели в краевом бюджете.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Расходы на проведение указанных мероприятий, не относящихся к государственным расходам, осуществляются за счет других источников, не запрещенных законодательством Российской Федерации.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226DD7" w:rsidRDefault="00226DD7">
      <w:pPr>
        <w:pStyle w:val="ConsPlusNormal"/>
        <w:spacing w:before="220"/>
        <w:ind w:firstLine="540"/>
        <w:jc w:val="both"/>
      </w:pPr>
      <w:bookmarkStart w:id="1" w:name="P103"/>
      <w:bookmarkEnd w:id="1"/>
      <w:r>
        <w:t xml:space="preserve">Положения </w:t>
      </w:r>
      <w:hyperlink w:anchor="P56" w:history="1">
        <w:r>
          <w:rPr>
            <w:color w:val="0000FF"/>
          </w:rPr>
          <w:t>части 1 статьи 4</w:t>
        </w:r>
      </w:hyperlink>
      <w:r>
        <w:t xml:space="preserve"> настоящего Закона в части обеспечения доступности для инвалидов объектов социальной, инженерной и транспортной инфраструктур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226DD7" w:rsidRDefault="00226DD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226DD7" w:rsidRDefault="00226DD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Пермского края от 27.12.2004 N 1957-424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Пермского края" (Бюллетень Законодательного Собрания и администрации Пермской области, 28.02.2005, N 2, часть I);</w:t>
      </w:r>
    </w:p>
    <w:p w:rsidR="00226DD7" w:rsidRDefault="00226DD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Закон</w:t>
        </w:r>
      </w:hyperlink>
      <w:r>
        <w:t xml:space="preserve"> Пермского края от 05.12.2008 N 358-ПК "О распространении Закона Пермской области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Пермской области" на территорию Пермского края и внесении в него изменений" (Собрание законодательства Пермского края, 30.01.2009, N 1, часть II).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jc w:val="right"/>
      </w:pPr>
      <w:r>
        <w:t>Губернатор</w:t>
      </w:r>
    </w:p>
    <w:p w:rsidR="00226DD7" w:rsidRDefault="00226DD7">
      <w:pPr>
        <w:pStyle w:val="ConsPlusNormal"/>
        <w:jc w:val="right"/>
      </w:pPr>
      <w:r>
        <w:t>Пермского края</w:t>
      </w:r>
    </w:p>
    <w:p w:rsidR="00226DD7" w:rsidRDefault="00226DD7">
      <w:pPr>
        <w:pStyle w:val="ConsPlusNormal"/>
        <w:jc w:val="right"/>
      </w:pPr>
      <w:r>
        <w:t>В.Ф.БАСАРГИН</w:t>
      </w:r>
    </w:p>
    <w:p w:rsidR="00226DD7" w:rsidRDefault="00226DD7">
      <w:pPr>
        <w:pStyle w:val="ConsPlusNormal"/>
      </w:pPr>
      <w:r>
        <w:t>04.04.2016 N 627-ПК</w:t>
      </w: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jc w:val="both"/>
      </w:pPr>
    </w:p>
    <w:p w:rsidR="00226DD7" w:rsidRDefault="00226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96A" w:rsidRDefault="00B7596A">
      <w:bookmarkStart w:id="2" w:name="_GoBack"/>
      <w:bookmarkEnd w:id="2"/>
    </w:p>
    <w:sectPr w:rsidR="00B7596A" w:rsidSect="009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D7"/>
    <w:rsid w:val="00226DD7"/>
    <w:rsid w:val="00B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111BC10306732692D6CD9A771C4B53995D149DA7A344AFFA34E4CBC49CC19F6DDA251EDFF5D4528F036D98AC4X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111BC10306732692D6CD9A771C4B53995D149DA7A344AFFA34E4CBC49CC19E4DDFA5EE8FF48117AAA61D48B4AFF868F7816CB04CDX4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111BC10306732692D72D4B11D99BE329E8F4CDE783C1FA0FF481BE319CA4CA49DFC08AEBF4E442BEE34D98345B5D7C83319CB01C3FD0C1BE4AA3FC4X9L" TargetMode="External"/><Relationship Id="rId11" Type="http://schemas.openxmlformats.org/officeDocument/2006/relationships/hyperlink" Target="consultantplus://offline/ref=1B9111BC10306732692D72D4B11D99BE329E8F4CDC7F391FA7FC1511EB40C64EA392A30DA9AE4E452FF034DA954CE187C8X5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B9111BC10306732692D72D4B11D99BE329E8F4CDC7F3919A3FC1511EB40C64EA392A30DA9AE4E452FF034DA954CE187C8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111BC10306732692D72D4B11D99BE329E8F4CDE783C1FA0FF481BE319CA4CA49DFC08AEBF4E442BEE34D98345B5D7C83319CB01C3FD0C1BE4AA3FC4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2019-03-04T11:23:00Z</dcterms:created>
  <dcterms:modified xsi:type="dcterms:W3CDTF">2019-03-04T11:23:00Z</dcterms:modified>
</cp:coreProperties>
</file>