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12" w:rsidRPr="00287E5D"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w:t>
      </w:r>
      <w:r w:rsidR="00430512" w:rsidRPr="00287E5D">
        <w:rPr>
          <w:rFonts w:ascii="Times New Roman" w:hAnsi="Times New Roman"/>
          <w:sz w:val="28"/>
          <w:szCs w:val="28"/>
        </w:rPr>
        <w:t>Утвержден</w:t>
      </w:r>
    </w:p>
    <w:p w:rsidR="00430512"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р</w:t>
      </w:r>
      <w:r w:rsidR="00430512" w:rsidRPr="00287E5D">
        <w:rPr>
          <w:rFonts w:ascii="Times New Roman" w:hAnsi="Times New Roman"/>
          <w:sz w:val="28"/>
          <w:szCs w:val="28"/>
        </w:rPr>
        <w:t>аспоряжением</w:t>
      </w:r>
    </w:p>
    <w:p w:rsidR="004950EF" w:rsidRPr="00287E5D"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председателя</w:t>
      </w:r>
    </w:p>
    <w:p w:rsidR="004950EF"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w:t>
      </w:r>
      <w:r w:rsidR="00430512" w:rsidRPr="00287E5D">
        <w:rPr>
          <w:rFonts w:ascii="Times New Roman" w:hAnsi="Times New Roman"/>
          <w:sz w:val="28"/>
          <w:szCs w:val="28"/>
        </w:rPr>
        <w:t>Контрольно-счетной</w:t>
      </w:r>
    </w:p>
    <w:p w:rsidR="004950EF"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п</w:t>
      </w:r>
      <w:r w:rsidR="00430512" w:rsidRPr="00287E5D">
        <w:rPr>
          <w:rFonts w:ascii="Times New Roman" w:hAnsi="Times New Roman"/>
          <w:sz w:val="28"/>
          <w:szCs w:val="28"/>
        </w:rPr>
        <w:t>алаты</w:t>
      </w:r>
      <w:r>
        <w:rPr>
          <w:rFonts w:ascii="Times New Roman" w:hAnsi="Times New Roman"/>
          <w:sz w:val="28"/>
          <w:szCs w:val="28"/>
        </w:rPr>
        <w:t xml:space="preserve"> </w:t>
      </w:r>
      <w:r w:rsidR="00430512" w:rsidRPr="00287E5D">
        <w:rPr>
          <w:rFonts w:ascii="Times New Roman" w:hAnsi="Times New Roman"/>
          <w:sz w:val="28"/>
          <w:szCs w:val="28"/>
        </w:rPr>
        <w:t>Красновишерского</w:t>
      </w:r>
    </w:p>
    <w:p w:rsidR="00430512" w:rsidRPr="00287E5D"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городского округа</w:t>
      </w:r>
    </w:p>
    <w:p w:rsidR="00430512" w:rsidRPr="00287E5D" w:rsidRDefault="004950EF" w:rsidP="004950EF">
      <w:pPr>
        <w:spacing w:after="0" w:line="240" w:lineRule="auto"/>
        <w:jc w:val="center"/>
        <w:rPr>
          <w:rFonts w:ascii="Times New Roman" w:hAnsi="Times New Roman"/>
          <w:sz w:val="28"/>
          <w:szCs w:val="28"/>
        </w:rPr>
      </w:pPr>
      <w:r>
        <w:rPr>
          <w:rFonts w:ascii="Times New Roman" w:hAnsi="Times New Roman"/>
          <w:sz w:val="28"/>
          <w:szCs w:val="28"/>
        </w:rPr>
        <w:t xml:space="preserve">                                                                                 </w:t>
      </w:r>
      <w:r w:rsidR="00430512" w:rsidRPr="00287E5D">
        <w:rPr>
          <w:rFonts w:ascii="Times New Roman" w:hAnsi="Times New Roman"/>
          <w:sz w:val="28"/>
          <w:szCs w:val="28"/>
        </w:rPr>
        <w:t xml:space="preserve">от  </w:t>
      </w:r>
      <w:r w:rsidR="00287E5D" w:rsidRPr="00287E5D">
        <w:rPr>
          <w:rFonts w:ascii="Times New Roman" w:hAnsi="Times New Roman"/>
          <w:sz w:val="28"/>
          <w:szCs w:val="28"/>
        </w:rPr>
        <w:t>20</w:t>
      </w:r>
      <w:r w:rsidR="00430512" w:rsidRPr="00287E5D">
        <w:rPr>
          <w:rFonts w:ascii="Times New Roman" w:hAnsi="Times New Roman"/>
          <w:sz w:val="28"/>
          <w:szCs w:val="28"/>
        </w:rPr>
        <w:t>.0</w:t>
      </w:r>
      <w:r>
        <w:rPr>
          <w:rFonts w:ascii="Times New Roman" w:hAnsi="Times New Roman"/>
          <w:sz w:val="28"/>
          <w:szCs w:val="28"/>
        </w:rPr>
        <w:t>7</w:t>
      </w:r>
      <w:r w:rsidR="00430512" w:rsidRPr="00287E5D">
        <w:rPr>
          <w:rFonts w:ascii="Times New Roman" w:hAnsi="Times New Roman"/>
          <w:sz w:val="28"/>
          <w:szCs w:val="28"/>
        </w:rPr>
        <w:t>.20</w:t>
      </w:r>
      <w:r>
        <w:rPr>
          <w:rFonts w:ascii="Times New Roman" w:hAnsi="Times New Roman"/>
          <w:sz w:val="28"/>
          <w:szCs w:val="28"/>
        </w:rPr>
        <w:t>20 г.</w:t>
      </w:r>
      <w:r w:rsidR="00430512" w:rsidRPr="00287E5D">
        <w:rPr>
          <w:rFonts w:ascii="Times New Roman" w:hAnsi="Times New Roman"/>
          <w:sz w:val="28"/>
          <w:szCs w:val="28"/>
        </w:rPr>
        <w:t xml:space="preserve"> № </w:t>
      </w:r>
      <w:r>
        <w:rPr>
          <w:rFonts w:ascii="Times New Roman" w:hAnsi="Times New Roman"/>
          <w:sz w:val="28"/>
          <w:szCs w:val="28"/>
        </w:rPr>
        <w:t>22</w:t>
      </w:r>
      <w:r w:rsidR="00430512" w:rsidRPr="00576718">
        <w:rPr>
          <w:rFonts w:ascii="Times New Roman" w:hAnsi="Times New Roman"/>
          <w:sz w:val="28"/>
          <w:szCs w:val="28"/>
        </w:rPr>
        <w:t>-р</w:t>
      </w:r>
    </w:p>
    <w:p w:rsidR="00430512" w:rsidRPr="00287E5D" w:rsidRDefault="00430512" w:rsidP="00287E5D">
      <w:pPr>
        <w:pStyle w:val="3"/>
        <w:widowControl w:val="0"/>
        <w:spacing w:before="0" w:after="0"/>
        <w:jc w:val="both"/>
        <w:rPr>
          <w:rFonts w:ascii="Times New Roman" w:hAnsi="Times New Roman"/>
          <w:b w:val="0"/>
          <w:sz w:val="28"/>
          <w:szCs w:val="24"/>
        </w:rPr>
      </w:pPr>
    </w:p>
    <w:p w:rsidR="004950EF" w:rsidRDefault="004950EF" w:rsidP="00287E5D">
      <w:pPr>
        <w:widowControl w:val="0"/>
        <w:jc w:val="center"/>
        <w:rPr>
          <w:rFonts w:ascii="Times New Roman" w:hAnsi="Times New Roman"/>
          <w:b/>
          <w:sz w:val="28"/>
          <w:szCs w:val="48"/>
        </w:rPr>
      </w:pPr>
    </w:p>
    <w:p w:rsidR="004950EF" w:rsidRDefault="004950EF" w:rsidP="00287E5D">
      <w:pPr>
        <w:widowControl w:val="0"/>
        <w:jc w:val="center"/>
        <w:rPr>
          <w:rFonts w:ascii="Times New Roman" w:hAnsi="Times New Roman"/>
          <w:b/>
          <w:sz w:val="28"/>
          <w:szCs w:val="48"/>
        </w:rPr>
      </w:pPr>
    </w:p>
    <w:p w:rsidR="004950EF" w:rsidRDefault="004950EF" w:rsidP="00287E5D">
      <w:pPr>
        <w:widowControl w:val="0"/>
        <w:jc w:val="center"/>
        <w:rPr>
          <w:rFonts w:ascii="Times New Roman" w:hAnsi="Times New Roman"/>
          <w:b/>
          <w:sz w:val="28"/>
          <w:szCs w:val="48"/>
        </w:rPr>
      </w:pPr>
    </w:p>
    <w:p w:rsidR="004950EF" w:rsidRDefault="004950EF" w:rsidP="004950EF">
      <w:pPr>
        <w:spacing w:after="0"/>
        <w:jc w:val="center"/>
        <w:rPr>
          <w:rFonts w:ascii="Times New Roman" w:hAnsi="Times New Roman"/>
          <w:b/>
          <w:sz w:val="28"/>
          <w:szCs w:val="28"/>
        </w:rPr>
      </w:pPr>
      <w:r w:rsidRPr="00C20FEA">
        <w:rPr>
          <w:rFonts w:ascii="Times New Roman" w:hAnsi="Times New Roman"/>
          <w:b/>
          <w:sz w:val="28"/>
          <w:szCs w:val="28"/>
        </w:rPr>
        <w:t xml:space="preserve">СТАНДАРТ  ВНЕШНЕГО МУНИЦИПАЛЬНОГО </w:t>
      </w:r>
    </w:p>
    <w:p w:rsidR="004950EF" w:rsidRPr="00C20FEA" w:rsidRDefault="004950EF" w:rsidP="004950EF">
      <w:pPr>
        <w:spacing w:after="0"/>
        <w:jc w:val="center"/>
        <w:rPr>
          <w:rFonts w:ascii="Times New Roman" w:hAnsi="Times New Roman"/>
          <w:b/>
          <w:sz w:val="28"/>
          <w:szCs w:val="28"/>
        </w:rPr>
      </w:pPr>
      <w:r w:rsidRPr="00C20FEA">
        <w:rPr>
          <w:rFonts w:ascii="Times New Roman" w:hAnsi="Times New Roman"/>
          <w:b/>
          <w:sz w:val="28"/>
          <w:szCs w:val="28"/>
        </w:rPr>
        <w:t>ФИНАНСОВОГО  КОНТРОЛЯ</w:t>
      </w:r>
    </w:p>
    <w:p w:rsidR="00430512" w:rsidRDefault="00430512" w:rsidP="00287E5D">
      <w:pPr>
        <w:widowControl w:val="0"/>
        <w:jc w:val="both"/>
        <w:rPr>
          <w:rFonts w:ascii="Times New Roman" w:hAnsi="Times New Roman"/>
          <w:sz w:val="28"/>
          <w:szCs w:val="48"/>
        </w:rPr>
      </w:pPr>
    </w:p>
    <w:p w:rsidR="00553937" w:rsidRDefault="00553937" w:rsidP="00287E5D">
      <w:pPr>
        <w:widowControl w:val="0"/>
        <w:jc w:val="both"/>
        <w:rPr>
          <w:rFonts w:ascii="Times New Roman" w:hAnsi="Times New Roman"/>
          <w:sz w:val="28"/>
          <w:szCs w:val="48"/>
        </w:rPr>
      </w:pPr>
    </w:p>
    <w:p w:rsidR="00553937" w:rsidRPr="00287E5D" w:rsidRDefault="00553937" w:rsidP="00287E5D">
      <w:pPr>
        <w:widowControl w:val="0"/>
        <w:jc w:val="both"/>
        <w:rPr>
          <w:rFonts w:ascii="Times New Roman" w:hAnsi="Times New Roman"/>
          <w:sz w:val="28"/>
          <w:szCs w:val="48"/>
        </w:rPr>
      </w:pPr>
    </w:p>
    <w:p w:rsidR="00430512" w:rsidRPr="00287E5D" w:rsidRDefault="00430512" w:rsidP="00287E5D">
      <w:pPr>
        <w:widowControl w:val="0"/>
        <w:jc w:val="both"/>
        <w:rPr>
          <w:rFonts w:ascii="Times New Roman" w:hAnsi="Times New Roman"/>
          <w:b/>
          <w:sz w:val="28"/>
          <w:szCs w:val="28"/>
        </w:rPr>
      </w:pPr>
      <w:r w:rsidRPr="00287E5D">
        <w:rPr>
          <w:rFonts w:ascii="Times New Roman" w:hAnsi="Times New Roman"/>
          <w:b/>
          <w:sz w:val="28"/>
          <w:szCs w:val="32"/>
        </w:rPr>
        <w:t xml:space="preserve">Методические рекомендации по подготовке, принятию и направлению уведомлений Контрольно-счетной палаты Красновишерского </w:t>
      </w:r>
      <w:r w:rsidR="00F05779">
        <w:rPr>
          <w:rFonts w:ascii="Times New Roman" w:hAnsi="Times New Roman"/>
          <w:b/>
          <w:sz w:val="28"/>
          <w:szCs w:val="32"/>
        </w:rPr>
        <w:t>городского округа</w:t>
      </w:r>
      <w:r w:rsidRPr="00287E5D">
        <w:rPr>
          <w:rFonts w:ascii="Times New Roman" w:hAnsi="Times New Roman"/>
          <w:b/>
          <w:sz w:val="28"/>
          <w:szCs w:val="32"/>
        </w:rPr>
        <w:t xml:space="preserve"> о применении бюджетных мер принуждения </w:t>
      </w: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430512" w:rsidRDefault="00430512" w:rsidP="00287E5D">
      <w:pPr>
        <w:jc w:val="both"/>
        <w:rPr>
          <w:rFonts w:ascii="Times New Roman" w:hAnsi="Times New Roman"/>
          <w:sz w:val="28"/>
          <w:szCs w:val="32"/>
        </w:rPr>
      </w:pPr>
    </w:p>
    <w:p w:rsidR="00F05779" w:rsidRDefault="00F05779" w:rsidP="00287E5D">
      <w:pPr>
        <w:jc w:val="both"/>
        <w:rPr>
          <w:rFonts w:ascii="Times New Roman" w:hAnsi="Times New Roman"/>
          <w:sz w:val="28"/>
          <w:szCs w:val="32"/>
        </w:rPr>
      </w:pPr>
    </w:p>
    <w:p w:rsidR="00430512" w:rsidRPr="00287E5D" w:rsidRDefault="00B61EB8" w:rsidP="00287E5D">
      <w:pPr>
        <w:jc w:val="center"/>
        <w:rPr>
          <w:rFonts w:ascii="Times New Roman" w:hAnsi="Times New Roman"/>
          <w:sz w:val="28"/>
          <w:szCs w:val="32"/>
        </w:rPr>
      </w:pPr>
      <w:r w:rsidRPr="00287E5D">
        <w:rPr>
          <w:rFonts w:ascii="Times New Roman" w:hAnsi="Times New Roman"/>
          <w:sz w:val="28"/>
          <w:szCs w:val="32"/>
        </w:rPr>
        <w:lastRenderedPageBreak/>
        <w:t>Содержание</w:t>
      </w:r>
    </w:p>
    <w:p w:rsidR="00430512" w:rsidRPr="00287E5D" w:rsidRDefault="00B61EB8" w:rsidP="00F05779">
      <w:pPr>
        <w:spacing w:after="0"/>
        <w:jc w:val="both"/>
        <w:rPr>
          <w:rFonts w:ascii="Times New Roman" w:hAnsi="Times New Roman"/>
          <w:sz w:val="28"/>
          <w:szCs w:val="32"/>
        </w:rPr>
      </w:pPr>
      <w:r w:rsidRPr="00287E5D">
        <w:rPr>
          <w:rFonts w:ascii="Times New Roman" w:hAnsi="Times New Roman"/>
          <w:sz w:val="28"/>
          <w:szCs w:val="32"/>
        </w:rPr>
        <w:t>1. Общие положения</w:t>
      </w:r>
      <w:r w:rsidR="00430512" w:rsidRPr="00287E5D">
        <w:rPr>
          <w:rFonts w:ascii="Times New Roman" w:hAnsi="Times New Roman"/>
          <w:sz w:val="28"/>
          <w:szCs w:val="32"/>
        </w:rPr>
        <w:t xml:space="preserve">                                                                         </w:t>
      </w:r>
    </w:p>
    <w:p w:rsidR="00430512" w:rsidRPr="00287E5D" w:rsidRDefault="00B61EB8" w:rsidP="00F05779">
      <w:pPr>
        <w:spacing w:after="0"/>
        <w:jc w:val="both"/>
        <w:rPr>
          <w:rFonts w:ascii="Times New Roman" w:hAnsi="Times New Roman"/>
          <w:sz w:val="28"/>
          <w:szCs w:val="32"/>
        </w:rPr>
      </w:pPr>
      <w:r w:rsidRPr="00287E5D">
        <w:rPr>
          <w:rFonts w:ascii="Times New Roman" w:hAnsi="Times New Roman"/>
          <w:sz w:val="28"/>
          <w:szCs w:val="32"/>
        </w:rPr>
        <w:t xml:space="preserve">2. Порядок подготовки и направления уведомления о применении бюджетных мер принуждения </w:t>
      </w:r>
      <w:r w:rsidR="00430512" w:rsidRPr="00287E5D">
        <w:rPr>
          <w:rFonts w:ascii="Times New Roman" w:hAnsi="Times New Roman"/>
          <w:sz w:val="28"/>
          <w:szCs w:val="32"/>
        </w:rPr>
        <w:t xml:space="preserve">                                                       </w:t>
      </w:r>
    </w:p>
    <w:p w:rsidR="00430512" w:rsidRPr="00287E5D" w:rsidRDefault="00B61EB8" w:rsidP="00F05779">
      <w:pPr>
        <w:spacing w:after="0"/>
        <w:jc w:val="both"/>
        <w:rPr>
          <w:rFonts w:ascii="Times New Roman" w:hAnsi="Times New Roman"/>
          <w:sz w:val="28"/>
          <w:szCs w:val="32"/>
        </w:rPr>
      </w:pPr>
      <w:r w:rsidRPr="00287E5D">
        <w:rPr>
          <w:rFonts w:ascii="Times New Roman" w:hAnsi="Times New Roman"/>
          <w:sz w:val="28"/>
          <w:szCs w:val="32"/>
        </w:rPr>
        <w:t>3. Учет уведомлений о применении бюджетной меры принуждения</w:t>
      </w:r>
    </w:p>
    <w:p w:rsidR="00430512" w:rsidRDefault="00430512" w:rsidP="00287E5D">
      <w:pPr>
        <w:jc w:val="both"/>
        <w:rPr>
          <w:rFonts w:ascii="Times New Roman" w:hAnsi="Times New Roman"/>
          <w:sz w:val="28"/>
          <w:szCs w:val="32"/>
        </w:rPr>
      </w:pPr>
      <w:r w:rsidRPr="00287E5D">
        <w:rPr>
          <w:rFonts w:ascii="Times New Roman" w:hAnsi="Times New Roman"/>
          <w:sz w:val="28"/>
          <w:szCs w:val="32"/>
        </w:rPr>
        <w:t xml:space="preserve"> </w:t>
      </w: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287E5D" w:rsidRDefault="00287E5D" w:rsidP="00287E5D">
      <w:pPr>
        <w:jc w:val="both"/>
        <w:rPr>
          <w:rFonts w:ascii="Times New Roman" w:hAnsi="Times New Roman"/>
          <w:sz w:val="28"/>
          <w:szCs w:val="32"/>
        </w:rPr>
      </w:pPr>
    </w:p>
    <w:p w:rsidR="00430512" w:rsidRPr="00287E5D" w:rsidRDefault="00430512" w:rsidP="00287E5D">
      <w:pPr>
        <w:jc w:val="both"/>
        <w:rPr>
          <w:rFonts w:ascii="Times New Roman" w:hAnsi="Times New Roman"/>
          <w:sz w:val="28"/>
          <w:szCs w:val="32"/>
        </w:rPr>
      </w:pPr>
    </w:p>
    <w:p w:rsidR="00F05779" w:rsidRDefault="00F05779" w:rsidP="00287E5D">
      <w:pPr>
        <w:ind w:firstLine="709"/>
        <w:jc w:val="center"/>
        <w:rPr>
          <w:rFonts w:ascii="Times New Roman" w:hAnsi="Times New Roman"/>
          <w:sz w:val="28"/>
          <w:szCs w:val="32"/>
        </w:rPr>
      </w:pPr>
    </w:p>
    <w:p w:rsidR="00553937" w:rsidRDefault="00553937" w:rsidP="00F05779">
      <w:pPr>
        <w:spacing w:line="240" w:lineRule="auto"/>
        <w:ind w:firstLine="709"/>
        <w:jc w:val="center"/>
        <w:rPr>
          <w:rFonts w:ascii="Times New Roman" w:hAnsi="Times New Roman"/>
          <w:b/>
          <w:sz w:val="28"/>
          <w:szCs w:val="32"/>
        </w:rPr>
      </w:pPr>
    </w:p>
    <w:p w:rsidR="00EC1435" w:rsidRPr="00F05779" w:rsidRDefault="00B61EB8" w:rsidP="00F05779">
      <w:pPr>
        <w:spacing w:line="240" w:lineRule="auto"/>
        <w:ind w:firstLine="709"/>
        <w:jc w:val="center"/>
        <w:rPr>
          <w:rFonts w:ascii="Times New Roman" w:hAnsi="Times New Roman"/>
          <w:b/>
          <w:sz w:val="28"/>
          <w:szCs w:val="32"/>
        </w:rPr>
      </w:pPr>
      <w:r w:rsidRPr="00F05779">
        <w:rPr>
          <w:rFonts w:ascii="Times New Roman" w:hAnsi="Times New Roman"/>
          <w:b/>
          <w:sz w:val="28"/>
          <w:szCs w:val="32"/>
        </w:rPr>
        <w:lastRenderedPageBreak/>
        <w:t>1. Общие положения</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1.1. Настоящие методические рекомендации разработаны в целях оказания методической помощи должностным лицам Контрольно</w:t>
      </w:r>
      <w:r w:rsidR="00EC1435" w:rsidRPr="00287E5D">
        <w:rPr>
          <w:rFonts w:ascii="Times New Roman" w:hAnsi="Times New Roman"/>
          <w:sz w:val="28"/>
          <w:szCs w:val="32"/>
        </w:rPr>
        <w:t xml:space="preserve">й </w:t>
      </w:r>
      <w:r w:rsidRPr="00287E5D">
        <w:rPr>
          <w:rFonts w:ascii="Times New Roman" w:hAnsi="Times New Roman"/>
          <w:sz w:val="28"/>
          <w:szCs w:val="32"/>
        </w:rPr>
        <w:t xml:space="preserve">счетной палаты </w:t>
      </w:r>
      <w:r w:rsidR="00EC1435" w:rsidRPr="00287E5D">
        <w:rPr>
          <w:rFonts w:ascii="Times New Roman" w:hAnsi="Times New Roman"/>
          <w:sz w:val="28"/>
          <w:szCs w:val="32"/>
        </w:rPr>
        <w:t xml:space="preserve">Красновишерского </w:t>
      </w:r>
      <w:r w:rsidR="00F05779">
        <w:rPr>
          <w:rFonts w:ascii="Times New Roman" w:hAnsi="Times New Roman"/>
          <w:sz w:val="28"/>
          <w:szCs w:val="32"/>
        </w:rPr>
        <w:t>городского округа</w:t>
      </w:r>
      <w:r w:rsidRPr="00287E5D">
        <w:rPr>
          <w:rFonts w:ascii="Times New Roman" w:hAnsi="Times New Roman"/>
          <w:sz w:val="28"/>
          <w:szCs w:val="32"/>
        </w:rPr>
        <w:t xml:space="preserve"> (далее – КСП) по реализации норм действующего законодательства при выявлении бюджетных нарушений и подготовке уведомлений о применении бюджетных мер принуждения. </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1.2. Правовой основой исполнения КСП полномочий по выявлению нарушений, за которые предусмотрено применение бюджетных мер принуждения, являются:</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Бюджетный Кодекс Российской Федерации от 31.07.1998 № 145-ФЗ (далее – БК РФ);</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 Положение о Контрольно-счетной палате </w:t>
      </w:r>
      <w:r w:rsidR="00EC1435" w:rsidRPr="00287E5D">
        <w:rPr>
          <w:rFonts w:ascii="Times New Roman" w:hAnsi="Times New Roman"/>
          <w:sz w:val="28"/>
          <w:szCs w:val="32"/>
        </w:rPr>
        <w:t xml:space="preserve">Красновишерского </w:t>
      </w:r>
      <w:r w:rsidR="00F05779">
        <w:rPr>
          <w:rFonts w:ascii="Times New Roman" w:hAnsi="Times New Roman"/>
          <w:sz w:val="28"/>
          <w:szCs w:val="32"/>
        </w:rPr>
        <w:t>городского округа</w:t>
      </w:r>
      <w:r w:rsidR="00EC1435" w:rsidRPr="00287E5D">
        <w:rPr>
          <w:rFonts w:ascii="Times New Roman" w:hAnsi="Times New Roman"/>
          <w:sz w:val="28"/>
          <w:szCs w:val="32"/>
        </w:rPr>
        <w:t>,</w:t>
      </w:r>
      <w:r w:rsidR="00EC1435" w:rsidRPr="00287E5D">
        <w:rPr>
          <w:rFonts w:ascii="Times New Roman" w:hAnsi="Times New Roman"/>
          <w:color w:val="333333"/>
          <w:sz w:val="28"/>
          <w:szCs w:val="28"/>
        </w:rPr>
        <w:t xml:space="preserve"> утвержденное Решением </w:t>
      </w:r>
      <w:r w:rsidR="00F05779">
        <w:rPr>
          <w:rFonts w:ascii="Times New Roman" w:hAnsi="Times New Roman"/>
          <w:color w:val="333333"/>
          <w:sz w:val="28"/>
          <w:szCs w:val="28"/>
        </w:rPr>
        <w:t>Думы</w:t>
      </w:r>
      <w:r w:rsidR="00EC1435" w:rsidRPr="00287E5D">
        <w:rPr>
          <w:rFonts w:ascii="Times New Roman" w:hAnsi="Times New Roman"/>
          <w:color w:val="333333"/>
          <w:sz w:val="28"/>
          <w:szCs w:val="28"/>
        </w:rPr>
        <w:t xml:space="preserve"> Красновишерского </w:t>
      </w:r>
      <w:r w:rsidR="00F05779">
        <w:rPr>
          <w:rFonts w:ascii="Times New Roman" w:hAnsi="Times New Roman"/>
          <w:color w:val="333333"/>
          <w:sz w:val="28"/>
          <w:szCs w:val="28"/>
        </w:rPr>
        <w:t>городского округа</w:t>
      </w:r>
      <w:r w:rsidR="00EC1435" w:rsidRPr="00287E5D">
        <w:rPr>
          <w:rFonts w:ascii="Times New Roman" w:hAnsi="Times New Roman"/>
          <w:color w:val="333333"/>
          <w:sz w:val="28"/>
          <w:szCs w:val="28"/>
        </w:rPr>
        <w:t xml:space="preserve"> от 2</w:t>
      </w:r>
      <w:r w:rsidR="00F05779">
        <w:rPr>
          <w:rFonts w:ascii="Times New Roman" w:hAnsi="Times New Roman"/>
          <w:color w:val="333333"/>
          <w:sz w:val="28"/>
          <w:szCs w:val="28"/>
        </w:rPr>
        <w:t>3</w:t>
      </w:r>
      <w:r w:rsidR="00EC1435" w:rsidRPr="00287E5D">
        <w:rPr>
          <w:rFonts w:ascii="Times New Roman" w:hAnsi="Times New Roman"/>
          <w:color w:val="333333"/>
          <w:sz w:val="28"/>
          <w:szCs w:val="28"/>
        </w:rPr>
        <w:t xml:space="preserve"> </w:t>
      </w:r>
      <w:r w:rsidR="00F05779">
        <w:rPr>
          <w:rFonts w:ascii="Times New Roman" w:hAnsi="Times New Roman"/>
          <w:color w:val="333333"/>
          <w:sz w:val="28"/>
          <w:szCs w:val="28"/>
        </w:rPr>
        <w:t>декабря</w:t>
      </w:r>
      <w:r w:rsidR="00EC1435" w:rsidRPr="00287E5D">
        <w:rPr>
          <w:rFonts w:ascii="Times New Roman" w:hAnsi="Times New Roman"/>
          <w:color w:val="333333"/>
          <w:sz w:val="28"/>
          <w:szCs w:val="28"/>
        </w:rPr>
        <w:t xml:space="preserve"> 201</w:t>
      </w:r>
      <w:r w:rsidR="00F05779">
        <w:rPr>
          <w:rFonts w:ascii="Times New Roman" w:hAnsi="Times New Roman"/>
          <w:color w:val="333333"/>
          <w:sz w:val="28"/>
          <w:szCs w:val="28"/>
        </w:rPr>
        <w:t>9</w:t>
      </w:r>
      <w:r w:rsidR="00EC1435" w:rsidRPr="00287E5D">
        <w:rPr>
          <w:rFonts w:ascii="Times New Roman" w:hAnsi="Times New Roman"/>
          <w:color w:val="333333"/>
          <w:sz w:val="28"/>
          <w:szCs w:val="28"/>
        </w:rPr>
        <w:t xml:space="preserve"> года № </w:t>
      </w:r>
      <w:r w:rsidR="00F05779">
        <w:rPr>
          <w:rFonts w:ascii="Times New Roman" w:hAnsi="Times New Roman"/>
          <w:color w:val="333333"/>
          <w:sz w:val="28"/>
          <w:szCs w:val="28"/>
        </w:rPr>
        <w:t>67</w:t>
      </w:r>
      <w:r w:rsidRPr="00287E5D">
        <w:rPr>
          <w:rFonts w:ascii="Times New Roman" w:hAnsi="Times New Roman"/>
          <w:sz w:val="28"/>
          <w:szCs w:val="32"/>
        </w:rPr>
        <w:t xml:space="preserve">. </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1.3. Бюджетная мера принуждения применяется финансовым управлением администрации </w:t>
      </w:r>
      <w:r w:rsidR="00EC1435" w:rsidRPr="00287E5D">
        <w:rPr>
          <w:rFonts w:ascii="Times New Roman" w:hAnsi="Times New Roman"/>
          <w:sz w:val="28"/>
          <w:szCs w:val="32"/>
        </w:rPr>
        <w:t xml:space="preserve">Красновишерского </w:t>
      </w:r>
      <w:r w:rsidR="00F05779">
        <w:rPr>
          <w:rFonts w:ascii="Times New Roman" w:hAnsi="Times New Roman"/>
          <w:sz w:val="28"/>
          <w:szCs w:val="32"/>
        </w:rPr>
        <w:t>городского округа</w:t>
      </w:r>
      <w:r w:rsidRPr="00287E5D">
        <w:rPr>
          <w:rFonts w:ascii="Times New Roman" w:hAnsi="Times New Roman"/>
          <w:sz w:val="28"/>
          <w:szCs w:val="32"/>
        </w:rPr>
        <w:t>, обладающи</w:t>
      </w:r>
      <w:r w:rsidR="00EC1435" w:rsidRPr="00287E5D">
        <w:rPr>
          <w:rFonts w:ascii="Times New Roman" w:hAnsi="Times New Roman"/>
          <w:sz w:val="28"/>
          <w:szCs w:val="32"/>
        </w:rPr>
        <w:t>м</w:t>
      </w:r>
      <w:r w:rsidRPr="00287E5D">
        <w:rPr>
          <w:rFonts w:ascii="Times New Roman" w:hAnsi="Times New Roman"/>
          <w:sz w:val="28"/>
          <w:szCs w:val="32"/>
        </w:rPr>
        <w:t xml:space="preserve"> бюджетными полномочиями по разработке, рассмотрению, утверждению и исполнению бюджет</w:t>
      </w:r>
      <w:r w:rsidR="00EC1435" w:rsidRPr="00287E5D">
        <w:rPr>
          <w:rFonts w:ascii="Times New Roman" w:hAnsi="Times New Roman"/>
          <w:sz w:val="28"/>
          <w:szCs w:val="32"/>
        </w:rPr>
        <w:t>а</w:t>
      </w:r>
      <w:r w:rsidR="003746B3" w:rsidRPr="00287E5D">
        <w:rPr>
          <w:rFonts w:ascii="Times New Roman" w:hAnsi="Times New Roman"/>
          <w:sz w:val="28"/>
          <w:szCs w:val="32"/>
        </w:rPr>
        <w:t xml:space="preserve"> Красновишерского городского </w:t>
      </w:r>
      <w:r w:rsidR="00F05779">
        <w:rPr>
          <w:rFonts w:ascii="Times New Roman" w:hAnsi="Times New Roman"/>
          <w:sz w:val="28"/>
          <w:szCs w:val="32"/>
        </w:rPr>
        <w:t>округа</w:t>
      </w:r>
      <w:r w:rsidR="003746B3" w:rsidRPr="00287E5D">
        <w:rPr>
          <w:rFonts w:ascii="Times New Roman" w:hAnsi="Times New Roman"/>
          <w:sz w:val="28"/>
          <w:szCs w:val="32"/>
        </w:rPr>
        <w:t xml:space="preserve">, </w:t>
      </w:r>
      <w:r w:rsidRPr="00287E5D">
        <w:rPr>
          <w:rFonts w:ascii="Times New Roman" w:hAnsi="Times New Roman"/>
          <w:sz w:val="28"/>
          <w:szCs w:val="32"/>
        </w:rPr>
        <w:t>осуществлению контроля за исполнением</w:t>
      </w:r>
      <w:r w:rsidR="00F05779">
        <w:rPr>
          <w:rFonts w:ascii="Times New Roman" w:hAnsi="Times New Roman"/>
          <w:sz w:val="28"/>
          <w:szCs w:val="32"/>
        </w:rPr>
        <w:t xml:space="preserve"> бюджета</w:t>
      </w:r>
      <w:r w:rsidRPr="00287E5D">
        <w:rPr>
          <w:rFonts w:ascii="Times New Roman" w:hAnsi="Times New Roman"/>
          <w:sz w:val="28"/>
          <w:szCs w:val="32"/>
        </w:rPr>
        <w:t xml:space="preserve">, на основании уведомления КСП о применении бюджетных мер принуждения. </w:t>
      </w:r>
    </w:p>
    <w:p w:rsidR="00EC1435"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1.4. В соответствии с пунктом 5 статьи 306.2 Бюджетного кодекса Российской Федерации под уведомлением о применении бюджетных мер принуждения (далее - Уведомление) понимается документ КСП установленной формы, содержащий основания для применения предусмотренных Бюджетным кодексом Российской Федерации бюджетных мер принуждения и обязательный к рассмотрению финансовым органом. </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1.5. Понятия и термины, употребляемые в настоящих методических рекомендациях: </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 </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w:t>
      </w:r>
      <w:r w:rsidRPr="00287E5D">
        <w:rPr>
          <w:rFonts w:ascii="Times New Roman" w:hAnsi="Times New Roman"/>
          <w:sz w:val="28"/>
          <w:szCs w:val="32"/>
        </w:rPr>
        <w:lastRenderedPageBreak/>
        <w:t>учреждений), иностранному государству, иностранному юридическому лицу на возвратной и возмездной основах;</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главный администратор источников финансирования дефицита бюджета</w:t>
      </w:r>
      <w:r w:rsidR="003746B3" w:rsidRPr="00287E5D">
        <w:rPr>
          <w:rFonts w:ascii="Times New Roman" w:hAnsi="Times New Roman"/>
          <w:sz w:val="28"/>
          <w:szCs w:val="32"/>
        </w:rPr>
        <w:t>,</w:t>
      </w:r>
      <w:r w:rsidRPr="00287E5D">
        <w:rPr>
          <w:rFonts w:ascii="Times New Roman" w:hAnsi="Times New Roman"/>
          <w:sz w:val="28"/>
          <w:szCs w:val="32"/>
        </w:rPr>
        <w:t xml:space="preserve">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главный распорядитель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нецелевое использование бюджетных средств -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w:t>
      </w:r>
      <w:r w:rsidRPr="00287E5D">
        <w:rPr>
          <w:rFonts w:ascii="Times New Roman" w:hAnsi="Times New Roman"/>
          <w:sz w:val="28"/>
          <w:szCs w:val="32"/>
        </w:rPr>
        <w:lastRenderedPageBreak/>
        <w:t xml:space="preserve">(соглашением) либо иным документом, являющимся правовым основанием предоставления указанных средств; </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получатель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кодексом Российской Федерации;</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распорядитель бюджетных средств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 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 </w:t>
      </w:r>
    </w:p>
    <w:p w:rsidR="003746B3"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финансовый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 </w:t>
      </w:r>
    </w:p>
    <w:p w:rsidR="003746B3"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бюджетное нарушение -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 </w:t>
      </w:r>
    </w:p>
    <w:p w:rsidR="00F05779" w:rsidRPr="00287E5D" w:rsidRDefault="00F05779" w:rsidP="00F05779">
      <w:pPr>
        <w:spacing w:after="0" w:line="240" w:lineRule="auto"/>
        <w:ind w:firstLine="709"/>
        <w:jc w:val="both"/>
        <w:rPr>
          <w:rFonts w:ascii="Times New Roman" w:hAnsi="Times New Roman"/>
          <w:sz w:val="28"/>
          <w:szCs w:val="32"/>
        </w:rPr>
      </w:pPr>
    </w:p>
    <w:p w:rsidR="003746B3" w:rsidRDefault="00B61EB8" w:rsidP="00F05779">
      <w:pPr>
        <w:spacing w:after="0" w:line="240" w:lineRule="auto"/>
        <w:ind w:firstLine="709"/>
        <w:jc w:val="center"/>
        <w:rPr>
          <w:rFonts w:ascii="Times New Roman" w:hAnsi="Times New Roman"/>
          <w:b/>
          <w:sz w:val="28"/>
          <w:szCs w:val="32"/>
        </w:rPr>
      </w:pPr>
      <w:r w:rsidRPr="00287E5D">
        <w:rPr>
          <w:rFonts w:ascii="Times New Roman" w:hAnsi="Times New Roman"/>
          <w:sz w:val="28"/>
          <w:szCs w:val="32"/>
        </w:rPr>
        <w:t xml:space="preserve">2. </w:t>
      </w:r>
      <w:r w:rsidRPr="00F05779">
        <w:rPr>
          <w:rFonts w:ascii="Times New Roman" w:hAnsi="Times New Roman"/>
          <w:b/>
          <w:sz w:val="28"/>
          <w:szCs w:val="32"/>
        </w:rPr>
        <w:t>Порядок подготовки и направления уведомления о применении бюджетных мер принуждения</w:t>
      </w:r>
    </w:p>
    <w:p w:rsidR="00553937" w:rsidRPr="00287E5D" w:rsidRDefault="00553937" w:rsidP="00F05779">
      <w:pPr>
        <w:spacing w:after="0" w:line="240" w:lineRule="auto"/>
        <w:ind w:firstLine="709"/>
        <w:jc w:val="center"/>
        <w:rPr>
          <w:rFonts w:ascii="Times New Roman" w:hAnsi="Times New Roman"/>
          <w:sz w:val="28"/>
          <w:szCs w:val="32"/>
        </w:rPr>
      </w:pP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2.1. При выявлении в ходе контрольного мероприятия нарушений бюджетного законодательства, за совершение которых применяются бюджетные меры принуждения, КСП направляет в течение 30 календарных </w:t>
      </w:r>
      <w:r w:rsidRPr="00287E5D">
        <w:rPr>
          <w:rFonts w:ascii="Times New Roman" w:hAnsi="Times New Roman"/>
          <w:sz w:val="28"/>
          <w:szCs w:val="32"/>
        </w:rPr>
        <w:lastRenderedPageBreak/>
        <w:t>дней со дня окончания контрольного мероприятия, уведомление о применении бюджетных мер принуждения финансовому органу.</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2.2. Руководитель контрольного мероприятия при установлении достаточных оснований для направления уведомления о применении бюджетных мер принуждения, готовит проект Уведомления по форме, предусмотренной </w:t>
      </w:r>
      <w:r w:rsidR="00F05779">
        <w:rPr>
          <w:rFonts w:ascii="Times New Roman" w:hAnsi="Times New Roman"/>
          <w:sz w:val="28"/>
          <w:szCs w:val="32"/>
        </w:rPr>
        <w:t>Приложен</w:t>
      </w:r>
      <w:r w:rsidR="00287E5D" w:rsidRPr="00576718">
        <w:rPr>
          <w:rFonts w:ascii="Times New Roman" w:hAnsi="Times New Roman"/>
          <w:sz w:val="28"/>
          <w:szCs w:val="32"/>
        </w:rPr>
        <w:t>ием №1</w:t>
      </w:r>
      <w:r w:rsidRPr="00576718">
        <w:rPr>
          <w:rFonts w:ascii="Times New Roman" w:hAnsi="Times New Roman"/>
          <w:sz w:val="28"/>
          <w:szCs w:val="32"/>
        </w:rPr>
        <w:t>.</w:t>
      </w:r>
      <w:r w:rsidRPr="00287E5D">
        <w:rPr>
          <w:rFonts w:ascii="Times New Roman" w:hAnsi="Times New Roman"/>
          <w:sz w:val="28"/>
          <w:szCs w:val="32"/>
        </w:rPr>
        <w:t xml:space="preserve"> При подготовке проекта Уведомления руководитель контрольного мероприятия руководствуется следующими критериями: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наличие достаточных оснований для направления уведомления о применении бюджетных мер принуждения;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подтверждение факта выявленных нарушений, по которым рассматривается вопрос о направлении уведомления о применении бюджетных мер принуждения, материалами контрольного мероприятия;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законность и обоснованность уведомления о применении бюджетных мер принуждения.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Проект Уведомления визируется руководителем контрольного мероприятия. К проекту Уведомления</w:t>
      </w:r>
      <w:r w:rsidR="00AA3A4F" w:rsidRPr="00287E5D">
        <w:rPr>
          <w:rFonts w:ascii="Times New Roman" w:hAnsi="Times New Roman"/>
          <w:sz w:val="28"/>
          <w:szCs w:val="32"/>
        </w:rPr>
        <w:t xml:space="preserve"> </w:t>
      </w:r>
      <w:r w:rsidRPr="00287E5D">
        <w:rPr>
          <w:rFonts w:ascii="Times New Roman" w:hAnsi="Times New Roman"/>
          <w:sz w:val="28"/>
          <w:szCs w:val="32"/>
        </w:rPr>
        <w:t xml:space="preserve">в обязательном порядке прилагаются документы, подтверждающие факт нарушения бюджетного законодательства (выписка из акта контрольного мероприятия, копии документов, подтверждающих выявленное нарушение и др.).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2.3. Решение о направлении Уведомления подписывается председателем КСП либо должностным лицом, исполняющим его обязанности. В связи с чем, должностным лицом КСП одновременно с рассмотрением вопроса о целесообразности направления уведомления о применении бюджетных мер принуждения в обязательном порядке следует рассмотреть вопрос о необходимости привлечения лиц, допустивших нарушения в финансово-бюджетной сфере к административной ответственности.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2.4. Рассмотрение уведомления о применении бюджетных мер принуждения осуществляется </w:t>
      </w:r>
      <w:r w:rsidR="00AA3A4F" w:rsidRPr="00287E5D">
        <w:rPr>
          <w:rFonts w:ascii="Times New Roman" w:hAnsi="Times New Roman"/>
          <w:sz w:val="28"/>
          <w:szCs w:val="32"/>
        </w:rPr>
        <w:t xml:space="preserve">финансовым управлением администрации Красновишерского </w:t>
      </w:r>
      <w:r w:rsidR="00F05779">
        <w:rPr>
          <w:rFonts w:ascii="Times New Roman" w:hAnsi="Times New Roman"/>
          <w:sz w:val="28"/>
          <w:szCs w:val="32"/>
        </w:rPr>
        <w:t>городского округа</w:t>
      </w:r>
      <w:r w:rsidR="00AA3A4F" w:rsidRPr="00287E5D">
        <w:rPr>
          <w:rFonts w:ascii="Times New Roman" w:hAnsi="Times New Roman"/>
          <w:sz w:val="28"/>
          <w:szCs w:val="32"/>
        </w:rPr>
        <w:t xml:space="preserve"> </w:t>
      </w:r>
      <w:r w:rsidRPr="00287E5D">
        <w:rPr>
          <w:rFonts w:ascii="Times New Roman" w:hAnsi="Times New Roman"/>
          <w:sz w:val="28"/>
          <w:szCs w:val="32"/>
        </w:rPr>
        <w:t xml:space="preserve">в порядке, определенном финансовым органом. </w:t>
      </w:r>
    </w:p>
    <w:p w:rsidR="00AA3A4F"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В соответствии с пунктом 6 статьи 306.2 Бюджетного кодекса Российской Федерации бюджетные меры принуждения за нарушения бюджетного законодательства, предусмотренные главой 30 БК РФ, подлежат применению в течение 30 календарных дней после получения финансовым органом уведомления о применении бюджетных мер принуждения.</w:t>
      </w:r>
    </w:p>
    <w:p w:rsidR="00AA3A4F"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 2.5. 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его должностных лиц при наличии соответствующих </w:t>
      </w:r>
      <w:r w:rsidRPr="00287E5D">
        <w:rPr>
          <w:rFonts w:ascii="Times New Roman" w:hAnsi="Times New Roman"/>
          <w:sz w:val="28"/>
          <w:szCs w:val="32"/>
        </w:rPr>
        <w:lastRenderedPageBreak/>
        <w:t>оснований - от ответственности, предусмотренной законодательством Российской Федерации.</w:t>
      </w:r>
    </w:p>
    <w:p w:rsidR="00F05779" w:rsidRPr="00287E5D" w:rsidRDefault="00F05779" w:rsidP="00F05779">
      <w:pPr>
        <w:spacing w:after="0" w:line="240" w:lineRule="auto"/>
        <w:ind w:firstLine="709"/>
        <w:jc w:val="both"/>
        <w:rPr>
          <w:rFonts w:ascii="Times New Roman" w:hAnsi="Times New Roman"/>
          <w:sz w:val="28"/>
          <w:szCs w:val="32"/>
        </w:rPr>
      </w:pPr>
    </w:p>
    <w:p w:rsidR="00287E5D" w:rsidRDefault="00B61EB8" w:rsidP="00F05779">
      <w:pPr>
        <w:spacing w:after="0" w:line="240" w:lineRule="auto"/>
        <w:ind w:firstLine="709"/>
        <w:jc w:val="both"/>
        <w:rPr>
          <w:rFonts w:ascii="Times New Roman" w:hAnsi="Times New Roman"/>
          <w:b/>
          <w:sz w:val="28"/>
          <w:szCs w:val="32"/>
        </w:rPr>
      </w:pPr>
      <w:r w:rsidRPr="00F05779">
        <w:rPr>
          <w:rFonts w:ascii="Times New Roman" w:hAnsi="Times New Roman"/>
          <w:b/>
          <w:sz w:val="28"/>
          <w:szCs w:val="32"/>
        </w:rPr>
        <w:t xml:space="preserve"> 3. Учет уведомлений о применении бюджетной меры принуждения </w:t>
      </w:r>
    </w:p>
    <w:p w:rsidR="00F05779" w:rsidRPr="00F05779" w:rsidRDefault="00F05779" w:rsidP="00F05779">
      <w:pPr>
        <w:spacing w:after="0" w:line="240" w:lineRule="auto"/>
        <w:ind w:firstLine="709"/>
        <w:jc w:val="both"/>
        <w:rPr>
          <w:rFonts w:ascii="Times New Roman" w:hAnsi="Times New Roman"/>
          <w:b/>
          <w:sz w:val="28"/>
          <w:szCs w:val="32"/>
        </w:rPr>
      </w:pPr>
    </w:p>
    <w:p w:rsidR="00287E5D" w:rsidRPr="00287E5D"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 xml:space="preserve">3.1. Учет уведомлений о применении бюджетной меры принуждения и принятых по ним решениях осуществляется инспектором КСП. </w:t>
      </w:r>
    </w:p>
    <w:p w:rsidR="00793BCC" w:rsidRDefault="00B61EB8" w:rsidP="00F05779">
      <w:pPr>
        <w:spacing w:after="0" w:line="240" w:lineRule="auto"/>
        <w:ind w:firstLine="709"/>
        <w:jc w:val="both"/>
        <w:rPr>
          <w:rFonts w:ascii="Times New Roman" w:hAnsi="Times New Roman"/>
          <w:sz w:val="28"/>
          <w:szCs w:val="32"/>
        </w:rPr>
      </w:pPr>
      <w:r w:rsidRPr="00287E5D">
        <w:rPr>
          <w:rFonts w:ascii="Times New Roman" w:hAnsi="Times New Roman"/>
          <w:sz w:val="28"/>
          <w:szCs w:val="32"/>
        </w:rPr>
        <w:t>Копия уведомления, информация финансового органа о применении бюджетной меры принуждения приобщаются к материалам контрольного мероприятия.</w:t>
      </w:r>
    </w:p>
    <w:p w:rsidR="00576718" w:rsidRDefault="00576718" w:rsidP="00F05779">
      <w:pPr>
        <w:spacing w:after="0"/>
        <w:ind w:firstLine="709"/>
        <w:jc w:val="both"/>
        <w:rPr>
          <w:rFonts w:ascii="Times New Roman" w:hAnsi="Times New Roman"/>
          <w:sz w:val="28"/>
          <w:szCs w:val="32"/>
        </w:rPr>
      </w:pPr>
    </w:p>
    <w:p w:rsidR="00576718" w:rsidRDefault="00576718" w:rsidP="00F05779">
      <w:pPr>
        <w:spacing w:after="0"/>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576718" w:rsidRDefault="00576718" w:rsidP="00287E5D">
      <w:pPr>
        <w:ind w:firstLine="709"/>
        <w:jc w:val="both"/>
        <w:rPr>
          <w:rFonts w:ascii="Times New Roman" w:hAnsi="Times New Roman"/>
          <w:sz w:val="28"/>
          <w:szCs w:val="32"/>
        </w:rPr>
      </w:pPr>
    </w:p>
    <w:p w:rsidR="00F05779" w:rsidRDefault="00F05779" w:rsidP="00A52A7E">
      <w:pPr>
        <w:pStyle w:val="1"/>
        <w:rPr>
          <w:b w:val="0"/>
        </w:rPr>
      </w:pPr>
    </w:p>
    <w:p w:rsidR="00F05779" w:rsidRPr="00F05779" w:rsidRDefault="00F05779" w:rsidP="00F05779"/>
    <w:p w:rsidR="00F05779" w:rsidRDefault="00F05779" w:rsidP="00A52A7E">
      <w:pPr>
        <w:pStyle w:val="1"/>
        <w:rPr>
          <w:b w:val="0"/>
        </w:rPr>
      </w:pPr>
    </w:p>
    <w:p w:rsidR="00F05779" w:rsidRDefault="00F05779" w:rsidP="00F05779"/>
    <w:p w:rsidR="00F05779" w:rsidRDefault="00F05779" w:rsidP="00F05779"/>
    <w:p w:rsidR="00F05779" w:rsidRDefault="00F05779" w:rsidP="00F05779"/>
    <w:p w:rsidR="00F05779" w:rsidRDefault="00F05779" w:rsidP="00F05779"/>
    <w:p w:rsidR="00F05779" w:rsidRDefault="00F05779" w:rsidP="00F05779"/>
    <w:p w:rsidR="00F05779" w:rsidRDefault="00F05779" w:rsidP="00F05779"/>
    <w:p w:rsidR="00A52A7E" w:rsidRPr="00A52A7E" w:rsidRDefault="00A52A7E" w:rsidP="00A52A7E">
      <w:pPr>
        <w:pStyle w:val="1"/>
        <w:rPr>
          <w:b w:val="0"/>
        </w:rPr>
      </w:pPr>
      <w:r w:rsidRPr="00A52A7E">
        <w:rPr>
          <w:b w:val="0"/>
        </w:rPr>
        <w:lastRenderedPageBreak/>
        <w:t xml:space="preserve">Уведомление № </w:t>
      </w:r>
    </w:p>
    <w:p w:rsidR="00A52A7E" w:rsidRDefault="00A52A7E" w:rsidP="00A52A7E">
      <w:pPr>
        <w:pStyle w:val="1"/>
        <w:rPr>
          <w:b w:val="0"/>
        </w:rPr>
      </w:pPr>
      <w:r w:rsidRPr="00A52A7E">
        <w:rPr>
          <w:b w:val="0"/>
        </w:rPr>
        <w:t>о применении бюджетных мер принуждения</w:t>
      </w:r>
    </w:p>
    <w:p w:rsidR="0085586E" w:rsidRPr="0085586E" w:rsidRDefault="0085586E" w:rsidP="0085586E"/>
    <w:p w:rsidR="00A52A7E" w:rsidRDefault="00A52A7E" w:rsidP="00A52A7E">
      <w:pPr>
        <w:pStyle w:val="1"/>
        <w:jc w:val="both"/>
        <w:rPr>
          <w:b w:val="0"/>
          <w:sz w:val="24"/>
        </w:rPr>
      </w:pPr>
      <w:r w:rsidRPr="00A52A7E">
        <w:rPr>
          <w:b w:val="0"/>
          <w:sz w:val="24"/>
        </w:rPr>
        <w:t>г.Красновишерск                                                                                                       00.00.0000</w:t>
      </w:r>
    </w:p>
    <w:p w:rsidR="0085586E" w:rsidRPr="0085586E" w:rsidRDefault="0085586E" w:rsidP="0085586E"/>
    <w:p w:rsidR="00A52A7E" w:rsidRPr="00A52A7E" w:rsidRDefault="00A52A7E" w:rsidP="00A52A7E">
      <w:pPr>
        <w:pStyle w:val="1"/>
        <w:jc w:val="both"/>
        <w:rPr>
          <w:b w:val="0"/>
          <w:spacing w:val="2"/>
          <w:sz w:val="24"/>
        </w:rPr>
      </w:pPr>
      <w:r>
        <w:rPr>
          <w:b w:val="0"/>
          <w:spacing w:val="2"/>
          <w:sz w:val="24"/>
        </w:rPr>
        <w:t xml:space="preserve">          </w:t>
      </w:r>
      <w:r w:rsidRPr="00A52A7E">
        <w:rPr>
          <w:b w:val="0"/>
          <w:spacing w:val="2"/>
          <w:sz w:val="24"/>
        </w:rPr>
        <w:t xml:space="preserve">Настоящее уведомление о применении бюджетных мер принуждения направляется Контрольно-счетной палатой Красновишерскго </w:t>
      </w:r>
      <w:r w:rsidR="00F05779">
        <w:rPr>
          <w:b w:val="0"/>
          <w:spacing w:val="2"/>
          <w:sz w:val="24"/>
        </w:rPr>
        <w:t>городского округа</w:t>
      </w:r>
      <w:r w:rsidRPr="00A52A7E">
        <w:rPr>
          <w:b w:val="0"/>
          <w:spacing w:val="2"/>
          <w:sz w:val="24"/>
        </w:rPr>
        <w:t xml:space="preserve">» в соответствии со статьями 81, 306.2 Бюджетного кодекса Российской Федерации, </w:t>
      </w:r>
      <w:r w:rsidRPr="00A52A7E">
        <w:rPr>
          <w:b w:val="0"/>
          <w:sz w:val="24"/>
        </w:rPr>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A52A7E">
        <w:rPr>
          <w:b w:val="0"/>
          <w:spacing w:val="2"/>
          <w:sz w:val="24"/>
        </w:rPr>
        <w:t>, _________________________________________________.</w:t>
      </w:r>
    </w:p>
    <w:p w:rsidR="00A52A7E" w:rsidRPr="00A52A7E" w:rsidRDefault="00A52A7E" w:rsidP="00A52A7E">
      <w:pPr>
        <w:pStyle w:val="1"/>
        <w:jc w:val="both"/>
        <w:rPr>
          <w:b w:val="0"/>
        </w:rPr>
      </w:pPr>
      <w:r>
        <w:rPr>
          <w:b w:val="0"/>
          <w:spacing w:val="2"/>
          <w:sz w:val="24"/>
        </w:rPr>
        <w:t xml:space="preserve">          </w:t>
      </w:r>
      <w:r w:rsidR="00553937">
        <w:rPr>
          <w:b w:val="0"/>
          <w:spacing w:val="2"/>
          <w:sz w:val="24"/>
        </w:rPr>
        <w:t>Контрольно-счетной палатой</w:t>
      </w:r>
      <w:r w:rsidRPr="00A52A7E">
        <w:rPr>
          <w:b w:val="0"/>
          <w:spacing w:val="2"/>
          <w:sz w:val="24"/>
        </w:rPr>
        <w:t xml:space="preserve"> Красновишерскго </w:t>
      </w:r>
      <w:r w:rsidR="00770F41">
        <w:rPr>
          <w:b w:val="0"/>
          <w:spacing w:val="2"/>
          <w:sz w:val="24"/>
        </w:rPr>
        <w:t>городского округа</w:t>
      </w:r>
      <w:r w:rsidRPr="00A52A7E">
        <w:rPr>
          <w:b w:val="0"/>
          <w:spacing w:val="2"/>
          <w:sz w:val="24"/>
        </w:rPr>
        <w:t xml:space="preserve"> </w:t>
      </w:r>
      <w:r w:rsidRPr="00A52A7E">
        <w:rPr>
          <w:b w:val="0"/>
          <w:sz w:val="24"/>
        </w:rPr>
        <w:t xml:space="preserve">по результатам проверки _______________________________________________________, </w:t>
      </w:r>
    </w:p>
    <w:tbl>
      <w:tblPr>
        <w:tblW w:w="0" w:type="auto"/>
        <w:tblLayout w:type="fixed"/>
        <w:tblCellMar>
          <w:left w:w="28" w:type="dxa"/>
          <w:right w:w="28" w:type="dxa"/>
        </w:tblCellMar>
        <w:tblLook w:val="0000"/>
      </w:tblPr>
      <w:tblGrid>
        <w:gridCol w:w="1627"/>
        <w:gridCol w:w="2155"/>
        <w:gridCol w:w="454"/>
        <w:gridCol w:w="2155"/>
        <w:gridCol w:w="323"/>
        <w:gridCol w:w="3260"/>
      </w:tblGrid>
      <w:tr w:rsidR="00A52A7E" w:rsidRPr="00A52A7E" w:rsidTr="004721F4">
        <w:tc>
          <w:tcPr>
            <w:tcW w:w="1627"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проведенной с</w:t>
            </w:r>
          </w:p>
        </w:tc>
        <w:tc>
          <w:tcPr>
            <w:tcW w:w="2155"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454"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по</w:t>
            </w:r>
          </w:p>
        </w:tc>
        <w:tc>
          <w:tcPr>
            <w:tcW w:w="2155"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323"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в</w:t>
            </w:r>
          </w:p>
        </w:tc>
        <w:tc>
          <w:tcPr>
            <w:tcW w:w="3260"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r w:rsidRPr="00A52A7E">
              <w:rPr>
                <w:b w:val="0"/>
                <w:sz w:val="24"/>
              </w:rPr>
              <w:t xml:space="preserve">  </w:t>
            </w:r>
          </w:p>
        </w:tc>
      </w:tr>
    </w:tbl>
    <w:p w:rsidR="00A52A7E" w:rsidRPr="00A52A7E" w:rsidRDefault="00A52A7E" w:rsidP="00A52A7E">
      <w:pPr>
        <w:pStyle w:val="1"/>
        <w:jc w:val="both"/>
        <w:rPr>
          <w:b w:val="0"/>
        </w:rPr>
      </w:pPr>
      <w:r w:rsidRPr="00A52A7E">
        <w:rPr>
          <w:b w:val="0"/>
          <w:sz w:val="24"/>
        </w:rPr>
        <w:t>,</w:t>
      </w:r>
    </w:p>
    <w:p w:rsidR="00A52A7E" w:rsidRPr="00A52A7E" w:rsidRDefault="00A52A7E" w:rsidP="00A52A7E">
      <w:pPr>
        <w:pStyle w:val="1"/>
        <w:jc w:val="both"/>
        <w:rPr>
          <w:b w:val="0"/>
          <w:sz w:val="2"/>
          <w:szCs w:val="2"/>
        </w:rPr>
      </w:pPr>
      <w:r w:rsidRPr="00A52A7E">
        <w:rPr>
          <w:b w:val="0"/>
          <w:sz w:val="24"/>
        </w:rPr>
        <w:t xml:space="preserve">(назначена распоряжением </w:t>
      </w:r>
      <w:r w:rsidR="00770F41">
        <w:rPr>
          <w:b w:val="0"/>
          <w:sz w:val="24"/>
        </w:rPr>
        <w:t xml:space="preserve">председателя </w:t>
      </w:r>
      <w:r w:rsidRPr="00A52A7E">
        <w:rPr>
          <w:b w:val="0"/>
          <w:sz w:val="24"/>
        </w:rPr>
        <w:t xml:space="preserve">КСП Красновишерского </w:t>
      </w:r>
      <w:r w:rsidR="00770F41">
        <w:rPr>
          <w:b w:val="0"/>
          <w:sz w:val="24"/>
        </w:rPr>
        <w:t>городского округа</w:t>
      </w:r>
      <w:r w:rsidRPr="00A52A7E">
        <w:rPr>
          <w:b w:val="0"/>
          <w:sz w:val="24"/>
        </w:rPr>
        <w:t>»)</w:t>
      </w:r>
      <w:r w:rsidRPr="00A52A7E">
        <w:rPr>
          <w:b w:val="0"/>
          <w:sz w:val="24"/>
        </w:rPr>
        <w:br/>
      </w:r>
    </w:p>
    <w:tbl>
      <w:tblPr>
        <w:tblW w:w="0" w:type="auto"/>
        <w:tblLayout w:type="fixed"/>
        <w:tblCellMar>
          <w:left w:w="28" w:type="dxa"/>
          <w:right w:w="28" w:type="dxa"/>
        </w:tblCellMar>
        <w:tblLook w:val="0000"/>
      </w:tblPr>
      <w:tblGrid>
        <w:gridCol w:w="312"/>
        <w:gridCol w:w="187"/>
        <w:gridCol w:w="454"/>
        <w:gridCol w:w="227"/>
        <w:gridCol w:w="1701"/>
        <w:gridCol w:w="397"/>
        <w:gridCol w:w="397"/>
        <w:gridCol w:w="624"/>
        <w:gridCol w:w="1191"/>
        <w:gridCol w:w="2863"/>
        <w:gridCol w:w="851"/>
        <w:gridCol w:w="889"/>
      </w:tblGrid>
      <w:tr w:rsidR="00A52A7E" w:rsidRPr="00A52A7E" w:rsidTr="004721F4">
        <w:tc>
          <w:tcPr>
            <w:tcW w:w="312"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от</w:t>
            </w:r>
          </w:p>
        </w:tc>
        <w:tc>
          <w:tcPr>
            <w:tcW w:w="187"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w:t>
            </w:r>
          </w:p>
        </w:tc>
        <w:tc>
          <w:tcPr>
            <w:tcW w:w="454"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227"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w:t>
            </w:r>
          </w:p>
        </w:tc>
        <w:tc>
          <w:tcPr>
            <w:tcW w:w="1701"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397"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20</w:t>
            </w:r>
          </w:p>
        </w:tc>
        <w:tc>
          <w:tcPr>
            <w:tcW w:w="397"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624"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г. №</w:t>
            </w:r>
          </w:p>
        </w:tc>
        <w:tc>
          <w:tcPr>
            <w:tcW w:w="1191"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2863"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в соответствии с пунктом</w:t>
            </w:r>
          </w:p>
        </w:tc>
        <w:tc>
          <w:tcPr>
            <w:tcW w:w="851"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889"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Плана</w:t>
            </w:r>
          </w:p>
        </w:tc>
      </w:tr>
    </w:tbl>
    <w:p w:rsidR="00A52A7E" w:rsidRPr="00A52A7E" w:rsidRDefault="00A52A7E" w:rsidP="00A52A7E">
      <w:pPr>
        <w:pStyle w:val="1"/>
        <w:jc w:val="both"/>
        <w:rPr>
          <w:b w:val="0"/>
          <w:sz w:val="2"/>
          <w:szCs w:val="2"/>
        </w:rPr>
      </w:pPr>
      <w:r w:rsidRPr="00A52A7E">
        <w:rPr>
          <w:b w:val="0"/>
          <w:sz w:val="24"/>
        </w:rPr>
        <w:t xml:space="preserve">работы КСП.  </w:t>
      </w:r>
    </w:p>
    <w:p w:rsidR="00A52A7E" w:rsidRPr="00A52A7E" w:rsidRDefault="00A52A7E" w:rsidP="00A52A7E">
      <w:pPr>
        <w:pStyle w:val="1"/>
        <w:jc w:val="both"/>
        <w:rPr>
          <w:b w:val="0"/>
          <w:sz w:val="24"/>
        </w:rPr>
      </w:pPr>
    </w:p>
    <w:p w:rsidR="00A52A7E" w:rsidRPr="00A52A7E" w:rsidRDefault="00A52A7E" w:rsidP="00A52A7E">
      <w:pPr>
        <w:pStyle w:val="1"/>
        <w:jc w:val="both"/>
        <w:rPr>
          <w:b w:val="0"/>
          <w:sz w:val="24"/>
        </w:rPr>
      </w:pPr>
      <w:r w:rsidRPr="00A52A7E">
        <w:rPr>
          <w:b w:val="0"/>
          <w:sz w:val="24"/>
        </w:rPr>
        <w:t>В ходе проверки выявлены следующие бюджетные нарушения:</w:t>
      </w:r>
    </w:p>
    <w:p w:rsidR="00A52A7E" w:rsidRPr="00A52A7E" w:rsidRDefault="00A52A7E" w:rsidP="00A52A7E">
      <w:pPr>
        <w:pStyle w:val="1"/>
        <w:jc w:val="both"/>
        <w:rPr>
          <w:b w:val="0"/>
          <w:sz w:val="24"/>
        </w:rPr>
      </w:pPr>
    </w:p>
    <w:p w:rsidR="00A52A7E" w:rsidRPr="00A52A7E" w:rsidRDefault="00A52A7E" w:rsidP="00A52A7E">
      <w:pPr>
        <w:pStyle w:val="1"/>
        <w:jc w:val="both"/>
        <w:rPr>
          <w:b w:val="0"/>
          <w:sz w:val="24"/>
        </w:rPr>
      </w:pPr>
    </w:p>
    <w:p w:rsidR="00A52A7E" w:rsidRPr="00A52A7E" w:rsidRDefault="00A52A7E" w:rsidP="0085586E">
      <w:pPr>
        <w:pStyle w:val="1"/>
        <w:rPr>
          <w:b w:val="0"/>
          <w:sz w:val="24"/>
        </w:rPr>
      </w:pPr>
      <w:r>
        <w:rPr>
          <w:b w:val="0"/>
          <w:sz w:val="24"/>
        </w:rPr>
        <w:t>Основание для принятия бюджетных мер принуждения.</w:t>
      </w:r>
    </w:p>
    <w:p w:rsidR="00A52A7E" w:rsidRPr="00A52A7E" w:rsidRDefault="00A52A7E" w:rsidP="00A52A7E">
      <w:pPr>
        <w:pStyle w:val="1"/>
        <w:jc w:val="both"/>
        <w:rPr>
          <w:b w:val="0"/>
          <w:sz w:val="24"/>
        </w:rPr>
      </w:pPr>
    </w:p>
    <w:p w:rsidR="00A52A7E" w:rsidRPr="00A52A7E" w:rsidRDefault="00852A82" w:rsidP="00A52A7E">
      <w:pPr>
        <w:pStyle w:val="1"/>
        <w:jc w:val="both"/>
        <w:rPr>
          <w:b w:val="0"/>
          <w:sz w:val="2"/>
          <w:szCs w:val="2"/>
        </w:rPr>
      </w:pPr>
      <w:r>
        <w:rPr>
          <w:b w:val="0"/>
          <w:sz w:val="24"/>
        </w:rPr>
        <w:t xml:space="preserve">          </w:t>
      </w:r>
      <w:r w:rsidR="00A52A7E" w:rsidRPr="00A52A7E">
        <w:rPr>
          <w:b w:val="0"/>
          <w:sz w:val="24"/>
        </w:rPr>
        <w:t>За совершение данного нарушения предусматривается применение бюджетной меры</w:t>
      </w:r>
      <w:r w:rsidR="00A52A7E" w:rsidRPr="00A52A7E">
        <w:rPr>
          <w:b w:val="0"/>
          <w:sz w:val="24"/>
        </w:rPr>
        <w:br/>
      </w:r>
    </w:p>
    <w:tbl>
      <w:tblPr>
        <w:tblW w:w="0" w:type="auto"/>
        <w:tblLayout w:type="fixed"/>
        <w:tblCellMar>
          <w:left w:w="28" w:type="dxa"/>
          <w:right w:w="28" w:type="dxa"/>
        </w:tblCellMar>
        <w:tblLook w:val="0000"/>
      </w:tblPr>
      <w:tblGrid>
        <w:gridCol w:w="4241"/>
        <w:gridCol w:w="947"/>
        <w:gridCol w:w="4876"/>
      </w:tblGrid>
      <w:tr w:rsidR="00A52A7E" w:rsidRPr="00A52A7E" w:rsidTr="004721F4">
        <w:tc>
          <w:tcPr>
            <w:tcW w:w="4241"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принуждения в соответствии со статьей</w:t>
            </w:r>
          </w:p>
        </w:tc>
        <w:tc>
          <w:tcPr>
            <w:tcW w:w="947" w:type="dxa"/>
            <w:tcBorders>
              <w:top w:val="nil"/>
              <w:left w:val="nil"/>
              <w:bottom w:val="single" w:sz="4" w:space="0" w:color="auto"/>
              <w:right w:val="nil"/>
            </w:tcBorders>
            <w:vAlign w:val="bottom"/>
          </w:tcPr>
          <w:p w:rsidR="00A52A7E" w:rsidRPr="00A52A7E" w:rsidRDefault="00A52A7E" w:rsidP="00A52A7E">
            <w:pPr>
              <w:pStyle w:val="1"/>
              <w:jc w:val="both"/>
              <w:rPr>
                <w:b w:val="0"/>
                <w:sz w:val="24"/>
              </w:rPr>
            </w:pPr>
          </w:p>
        </w:tc>
        <w:tc>
          <w:tcPr>
            <w:tcW w:w="4876" w:type="dxa"/>
            <w:tcBorders>
              <w:top w:val="nil"/>
              <w:left w:val="nil"/>
              <w:bottom w:val="nil"/>
              <w:right w:val="nil"/>
            </w:tcBorders>
            <w:vAlign w:val="bottom"/>
          </w:tcPr>
          <w:p w:rsidR="00A52A7E" w:rsidRPr="00A52A7E" w:rsidRDefault="00A52A7E" w:rsidP="00A52A7E">
            <w:pPr>
              <w:pStyle w:val="1"/>
              <w:jc w:val="both"/>
              <w:rPr>
                <w:b w:val="0"/>
                <w:sz w:val="24"/>
              </w:rPr>
            </w:pPr>
            <w:r w:rsidRPr="00A52A7E">
              <w:rPr>
                <w:b w:val="0"/>
                <w:sz w:val="24"/>
              </w:rPr>
              <w:t>Бюджетного кодекса Российской Федерации.</w:t>
            </w:r>
          </w:p>
        </w:tc>
      </w:tr>
    </w:tbl>
    <w:p w:rsidR="00A52A7E" w:rsidRDefault="00A52A7E" w:rsidP="00A52A7E">
      <w:pPr>
        <w:pStyle w:val="1"/>
        <w:jc w:val="both"/>
        <w:rPr>
          <w:b w:val="0"/>
          <w:sz w:val="24"/>
        </w:rPr>
      </w:pPr>
    </w:p>
    <w:p w:rsidR="0085586E" w:rsidRPr="0085586E" w:rsidRDefault="0085586E" w:rsidP="0085586E">
      <w:pPr>
        <w:jc w:val="both"/>
        <w:rPr>
          <w:rFonts w:ascii="Times New Roman" w:hAnsi="Times New Roman" w:cs="Times New Roman"/>
          <w:sz w:val="24"/>
          <w:szCs w:val="24"/>
        </w:rPr>
      </w:pPr>
      <w:r>
        <w:rPr>
          <w:rFonts w:ascii="Times New Roman" w:hAnsi="Times New Roman" w:cs="Times New Roman"/>
          <w:sz w:val="24"/>
          <w:szCs w:val="24"/>
        </w:rPr>
        <w:t xml:space="preserve">          </w:t>
      </w:r>
      <w:r w:rsidRPr="0085586E">
        <w:rPr>
          <w:rFonts w:ascii="Times New Roman" w:hAnsi="Times New Roman" w:cs="Times New Roman"/>
          <w:sz w:val="24"/>
          <w:szCs w:val="24"/>
        </w:rPr>
        <w:t xml:space="preserve">О результатах рассмотрения уведомления просим проинформировать </w:t>
      </w:r>
      <w:r>
        <w:rPr>
          <w:rFonts w:ascii="Times New Roman" w:hAnsi="Times New Roman" w:cs="Times New Roman"/>
          <w:sz w:val="24"/>
          <w:szCs w:val="24"/>
        </w:rPr>
        <w:t xml:space="preserve">Контрольно – счетную палату Красновишерского </w:t>
      </w:r>
      <w:r w:rsidR="00553937">
        <w:rPr>
          <w:rFonts w:ascii="Times New Roman" w:hAnsi="Times New Roman" w:cs="Times New Roman"/>
          <w:sz w:val="24"/>
          <w:szCs w:val="24"/>
        </w:rPr>
        <w:t>городского округа</w:t>
      </w:r>
      <w:r>
        <w:rPr>
          <w:rFonts w:ascii="Times New Roman" w:hAnsi="Times New Roman" w:cs="Times New Roman"/>
          <w:sz w:val="24"/>
          <w:szCs w:val="24"/>
        </w:rPr>
        <w:t xml:space="preserve"> в срок до __.      </w:t>
      </w:r>
    </w:p>
    <w:p w:rsidR="0085586E" w:rsidRDefault="0085586E" w:rsidP="0085586E">
      <w:pPr>
        <w:jc w:val="both"/>
      </w:pPr>
    </w:p>
    <w:p w:rsidR="0085586E" w:rsidRDefault="0085586E" w:rsidP="0085586E"/>
    <w:p w:rsidR="0085586E" w:rsidRDefault="0085586E" w:rsidP="0085586E"/>
    <w:p w:rsidR="0085586E" w:rsidRPr="0085586E" w:rsidRDefault="0085586E" w:rsidP="0085586E"/>
    <w:p w:rsidR="00A52A7E" w:rsidRPr="00A52A7E" w:rsidRDefault="00A52A7E" w:rsidP="00A52A7E">
      <w:pPr>
        <w:pStyle w:val="1"/>
        <w:jc w:val="both"/>
        <w:rPr>
          <w:b w:val="0"/>
          <w:sz w:val="24"/>
          <w:lang w:eastAsia="ar-SA"/>
        </w:rPr>
      </w:pPr>
      <w:r w:rsidRPr="00A52A7E">
        <w:rPr>
          <w:b w:val="0"/>
          <w:sz w:val="24"/>
          <w:lang w:eastAsia="ar-SA"/>
        </w:rPr>
        <w:t>Председатель  Контрольно-счётной палаты</w:t>
      </w:r>
    </w:p>
    <w:p w:rsidR="00576718" w:rsidRDefault="00A52A7E" w:rsidP="00A52A7E">
      <w:pPr>
        <w:pStyle w:val="1"/>
        <w:jc w:val="both"/>
        <w:rPr>
          <w:szCs w:val="32"/>
        </w:rPr>
      </w:pPr>
      <w:r w:rsidRPr="00A52A7E">
        <w:rPr>
          <w:b w:val="0"/>
          <w:sz w:val="24"/>
          <w:lang w:eastAsia="ar-SA"/>
        </w:rPr>
        <w:t xml:space="preserve">Красновишерского </w:t>
      </w:r>
      <w:r w:rsidR="00553937">
        <w:rPr>
          <w:b w:val="0"/>
          <w:sz w:val="24"/>
          <w:lang w:eastAsia="ar-SA"/>
        </w:rPr>
        <w:t>городского округа</w:t>
      </w:r>
      <w:r>
        <w:rPr>
          <w:sz w:val="24"/>
          <w:lang w:eastAsia="ar-SA"/>
        </w:rPr>
        <w:t xml:space="preserve">                            </w:t>
      </w:r>
    </w:p>
    <w:sectPr w:rsidR="00576718" w:rsidSect="00F05779">
      <w:foot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7E" w:rsidRDefault="0024727E" w:rsidP="008E4436">
      <w:pPr>
        <w:spacing w:after="0" w:line="240" w:lineRule="auto"/>
      </w:pPr>
      <w:r>
        <w:separator/>
      </w:r>
    </w:p>
  </w:endnote>
  <w:endnote w:type="continuationSeparator" w:id="1">
    <w:p w:rsidR="0024727E" w:rsidRDefault="0024727E" w:rsidP="008E4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7527"/>
      <w:docPartObj>
        <w:docPartGallery w:val="Page Numbers (Bottom of Page)"/>
        <w:docPartUnique/>
      </w:docPartObj>
    </w:sdtPr>
    <w:sdtContent>
      <w:p w:rsidR="008E4436" w:rsidRDefault="003E19DE">
        <w:pPr>
          <w:pStyle w:val="a5"/>
          <w:jc w:val="center"/>
        </w:pPr>
        <w:fldSimple w:instr=" PAGE   \* MERGEFORMAT ">
          <w:r w:rsidR="00553937">
            <w:rPr>
              <w:noProof/>
            </w:rPr>
            <w:t>8</w:t>
          </w:r>
        </w:fldSimple>
      </w:p>
    </w:sdtContent>
  </w:sdt>
  <w:p w:rsidR="008E4436" w:rsidRDefault="008E44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7E" w:rsidRDefault="0024727E" w:rsidP="008E4436">
      <w:pPr>
        <w:spacing w:after="0" w:line="240" w:lineRule="auto"/>
      </w:pPr>
      <w:r>
        <w:separator/>
      </w:r>
    </w:p>
  </w:footnote>
  <w:footnote w:type="continuationSeparator" w:id="1">
    <w:p w:rsidR="0024727E" w:rsidRDefault="0024727E" w:rsidP="008E4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B61EB8"/>
    <w:rsid w:val="0024727E"/>
    <w:rsid w:val="00287E5D"/>
    <w:rsid w:val="003746B3"/>
    <w:rsid w:val="003E19DE"/>
    <w:rsid w:val="00430512"/>
    <w:rsid w:val="004950EF"/>
    <w:rsid w:val="004C419D"/>
    <w:rsid w:val="00527F56"/>
    <w:rsid w:val="00553937"/>
    <w:rsid w:val="00576718"/>
    <w:rsid w:val="007012B4"/>
    <w:rsid w:val="00770F41"/>
    <w:rsid w:val="00793BCC"/>
    <w:rsid w:val="00852A82"/>
    <w:rsid w:val="0085586E"/>
    <w:rsid w:val="00865C29"/>
    <w:rsid w:val="008E4436"/>
    <w:rsid w:val="00A24500"/>
    <w:rsid w:val="00A52A7E"/>
    <w:rsid w:val="00AA3A4F"/>
    <w:rsid w:val="00AA6B9B"/>
    <w:rsid w:val="00B61EB8"/>
    <w:rsid w:val="00BE31F5"/>
    <w:rsid w:val="00C77C15"/>
    <w:rsid w:val="00EC1435"/>
    <w:rsid w:val="00F0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9D"/>
  </w:style>
  <w:style w:type="paragraph" w:styleId="1">
    <w:name w:val="heading 1"/>
    <w:basedOn w:val="a"/>
    <w:next w:val="a"/>
    <w:link w:val="10"/>
    <w:qFormat/>
    <w:rsid w:val="00430512"/>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43051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512"/>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430512"/>
    <w:rPr>
      <w:rFonts w:ascii="Cambria" w:eastAsia="Times New Roman" w:hAnsi="Cambria" w:cs="Times New Roman"/>
      <w:b/>
      <w:bCs/>
      <w:sz w:val="26"/>
      <w:szCs w:val="26"/>
    </w:rPr>
  </w:style>
  <w:style w:type="paragraph" w:styleId="a3">
    <w:name w:val="header"/>
    <w:basedOn w:val="a"/>
    <w:link w:val="a4"/>
    <w:uiPriority w:val="99"/>
    <w:semiHidden/>
    <w:unhideWhenUsed/>
    <w:rsid w:val="008E44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4436"/>
  </w:style>
  <w:style w:type="paragraph" w:styleId="a5">
    <w:name w:val="footer"/>
    <w:basedOn w:val="a"/>
    <w:link w:val="a6"/>
    <w:uiPriority w:val="99"/>
    <w:unhideWhenUsed/>
    <w:rsid w:val="008E44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4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D9CB-EEF4-47E6-92D9-BF4DD0E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popovanp</dc:creator>
  <cp:lastModifiedBy>panikarea</cp:lastModifiedBy>
  <cp:revision>5</cp:revision>
  <cp:lastPrinted>2020-07-14T08:59:00Z</cp:lastPrinted>
  <dcterms:created xsi:type="dcterms:W3CDTF">2018-08-20T11:06:00Z</dcterms:created>
  <dcterms:modified xsi:type="dcterms:W3CDTF">2020-07-14T09:05:00Z</dcterms:modified>
</cp:coreProperties>
</file>