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ind w:left="0" w:firstLine="709"/>
        <w:jc w:val="center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АДМИНИСТРАЦИЯ КРАСНОВИШЕРСКОГО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9"/>
        <w:jc w:val="center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ГОРОДСКОГО ОКРУГА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9"/>
        <w:jc w:val="center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Style19"/>
        <w:keepLines w:val="false"/>
        <w:numPr>
          <w:ilvl w:val="0"/>
          <w:numId w:val="0"/>
        </w:numPr>
        <w:tabs>
          <w:tab w:val="clear" w:pos="4320"/>
        </w:tabs>
        <w:ind w:left="0" w:hanging="0"/>
        <w:outlineLvl w:val="0"/>
        <w:rPr/>
      </w:pPr>
      <w:r>
        <w:rPr/>
      </w:r>
    </w:p>
    <w:p>
      <w:pPr>
        <w:pStyle w:val="Style19"/>
        <w:keepLines w:val="false"/>
        <w:numPr>
          <w:ilvl w:val="0"/>
          <w:numId w:val="0"/>
        </w:numPr>
        <w:tabs>
          <w:tab w:val="clear" w:pos="4320"/>
        </w:tabs>
        <w:ind w:left="0" w:hanging="0"/>
        <w:outlineLvl w:val="0"/>
        <w:rPr/>
      </w:pPr>
      <w:r>
        <w:rPr/>
        <w:t>П О С Т А Н О В Л Е Н И Е</w:t>
      </w:r>
    </w:p>
    <w:p>
      <w:pPr>
        <w:pStyle w:val="Style19"/>
        <w:keepLines w:val="false"/>
        <w:numPr>
          <w:ilvl w:val="0"/>
          <w:numId w:val="0"/>
        </w:numPr>
        <w:tabs>
          <w:tab w:val="clear" w:pos="4320"/>
        </w:tabs>
        <w:ind w:left="0" w:hanging="0"/>
        <w:outlineLvl w:val="0"/>
        <w:rPr/>
      </w:pPr>
      <w:r>
        <w:rPr/>
      </w:r>
    </w:p>
    <w:p>
      <w:pPr>
        <w:pStyle w:val="Style19"/>
        <w:keepLines w:val="false"/>
        <w:numPr>
          <w:ilvl w:val="0"/>
          <w:numId w:val="0"/>
        </w:numPr>
        <w:tabs>
          <w:tab w:val="clear" w:pos="4320"/>
        </w:tabs>
        <w:ind w:left="0" w:hanging="0"/>
        <w:jc w:val="both"/>
        <w:outlineLvl w:val="0"/>
        <w:rPr/>
      </w:pPr>
      <w:r>
        <w:rPr/>
        <w:t>00.00.2021</w:t>
        <w:tab/>
        <w:tab/>
        <w:tab/>
        <w:tab/>
        <w:tab/>
        <w:tab/>
        <w:tab/>
        <w:tab/>
        <w:tab/>
        <w:tab/>
        <w:tab/>
        <w:t xml:space="preserve">№ </w:t>
      </w:r>
    </w:p>
    <w:p>
      <w:pPr>
        <w:pStyle w:val="Style19"/>
        <w:keepLines w:val="false"/>
        <w:numPr>
          <w:ilvl w:val="0"/>
          <w:numId w:val="0"/>
        </w:numPr>
        <w:tabs>
          <w:tab w:val="clear" w:pos="4320"/>
        </w:tabs>
        <w:ind w:left="0" w:hanging="0"/>
        <w:outlineLvl w:val="0"/>
        <w:rPr/>
      </w:pPr>
      <w:r>
        <w:rPr/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б утверждении Положения о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комиссии по назначению пенсии за выслугу лет администрации Красновишерского городского округа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Руководствуясь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"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Федеральны</w:t>
      </w:r>
      <w:r>
        <w:rPr>
          <w:rFonts w:eastAsia=""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м</w:t>
      </w:r>
      <w:r>
        <w:rPr>
          <w:rFonts w:eastAsia=""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 закон</w:t>
      </w:r>
      <w:r>
        <w:rPr>
          <w:rFonts w:eastAsia=""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ом</w:t>
      </w:r>
      <w:r>
        <w:rPr>
          <w:rFonts w:eastAsia=""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 от 15 </w:t>
      </w:r>
      <w:r>
        <w:rPr>
          <w:rFonts w:eastAsia=""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декабря </w:t>
      </w:r>
      <w:r>
        <w:rPr>
          <w:rFonts w:eastAsia=""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2001 </w:t>
      </w:r>
      <w:r>
        <w:rPr>
          <w:rFonts w:eastAsia=""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№</w:t>
      </w:r>
      <w:r>
        <w:rPr>
          <w:rFonts w:eastAsia=""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 166-ФЗ «О государственном пенсионном обеспечении в Российской Федерации», </w:t>
      </w:r>
      <w:r>
        <w:rPr>
          <w:rFonts w:cs="Times New Roman" w:ascii="Times New Roman" w:hAnsi="Times New Roman"/>
          <w:sz w:val="28"/>
          <w:szCs w:val="28"/>
        </w:rPr>
        <w:t> </w:t>
      </w:r>
      <w:hyperlink r:id="rId2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Федеральным законом от 02 марта 2007 г. № 25-ФЗ «О муниципальной службе в Российской Федерации</w:t>
        </w:r>
      </w:hyperlink>
      <w:r>
        <w:rPr>
          <w:rFonts w:cs="Times New Roman" w:ascii="Times New Roman" w:hAnsi="Times New Roman"/>
          <w:sz w:val="28"/>
          <w:szCs w:val="28"/>
        </w:rPr>
        <w:t>Пермском крае», решени</w:t>
      </w:r>
      <w:r>
        <w:rPr>
          <w:rFonts w:cs="Times New Roman" w:ascii="Times New Roman" w:hAnsi="Times New Roman"/>
          <w:sz w:val="28"/>
          <w:szCs w:val="28"/>
        </w:rPr>
        <w:t>ем</w:t>
      </w:r>
      <w:r>
        <w:rPr>
          <w:rFonts w:cs="Times New Roman" w:ascii="Times New Roman" w:hAnsi="Times New Roman"/>
          <w:sz w:val="28"/>
          <w:szCs w:val="28"/>
        </w:rPr>
        <w:t xml:space="preserve"> Думы Красновишерского городского округа от 29 июня 2020 г. № 177 «Об организации, уполномоченной </w:t>
      </w:r>
      <w:r>
        <w:rPr>
          <w:rFonts w:cs="Times New Roman" w:ascii="Times New Roman" w:hAnsi="Times New Roman"/>
          <w:sz w:val="28"/>
          <w:szCs w:val="28"/>
        </w:rPr>
        <w:t>на установление и выплату пенсии за выслугу лет в Красновишерском городском округе»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</w:t>
      </w:r>
      <w:r>
        <w:rPr>
          <w:rStyle w:val="Style12"/>
          <w:rFonts w:cs="Times New Roman" w:ascii="Times New Roman" w:hAnsi="Times New Roman"/>
          <w:color w:val="auto"/>
          <w:sz w:val="28"/>
          <w:szCs w:val="28"/>
          <w:u w:val="none"/>
        </w:rPr>
        <w:t xml:space="preserve">инистрация Красновишерского городского округа </w:t>
      </w:r>
    </w:p>
    <w:p>
      <w:pPr>
        <w:pStyle w:val="Normal"/>
        <w:widowControl w:val="false"/>
        <w:tabs>
          <w:tab w:val="clear" w:pos="720"/>
          <w:tab w:val="left" w:pos="709" w:leader="none"/>
        </w:tabs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Style w:val="Style12"/>
          <w:rFonts w:cs="Times New Roman" w:ascii="Times New Roman" w:hAnsi="Times New Roman"/>
          <w:color w:val="auto"/>
          <w:sz w:val="28"/>
          <w:szCs w:val="28"/>
          <w:u w:val="none"/>
        </w:rPr>
        <w:t>ПОСТАНОВЛЯЕТ: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Создать комиссию по назначению пенсии за выслугу лет в администрации Красновишерского городского округа.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Утвердить прилагаемые: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 Положение о комиссии по назначению пенсии за выслугу лет в администрации Красновишерского городского округа.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Состав комиссии по назначению пенсии за выслугу лет в администрации Красновишерского городского округа.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округа, руководителя аппарата.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9"/>
        <w:keepLines w:val="false"/>
        <w:numPr>
          <w:ilvl w:val="0"/>
          <w:numId w:val="0"/>
        </w:numPr>
        <w:tabs>
          <w:tab w:val="clear" w:pos="4320"/>
        </w:tabs>
        <w:ind w:left="0" w:hanging="0"/>
        <w:jc w:val="both"/>
        <w:outlineLvl w:val="0"/>
        <w:rPr/>
      </w:pPr>
      <w:r>
        <w:rPr/>
      </w:r>
    </w:p>
    <w:p>
      <w:pPr>
        <w:pStyle w:val="Style19"/>
        <w:keepLines w:val="false"/>
        <w:numPr>
          <w:ilvl w:val="0"/>
          <w:numId w:val="0"/>
        </w:numPr>
        <w:tabs>
          <w:tab w:val="clear" w:pos="4320"/>
        </w:tabs>
        <w:ind w:left="0" w:hanging="0"/>
        <w:jc w:val="both"/>
        <w:outlineLvl w:val="0"/>
        <w:rPr/>
      </w:pPr>
      <w:r>
        <w:rPr/>
        <w:t>Глава городского округа -</w:t>
      </w:r>
    </w:p>
    <w:p>
      <w:pPr>
        <w:pStyle w:val="Style19"/>
        <w:keepLines w:val="false"/>
        <w:numPr>
          <w:ilvl w:val="0"/>
          <w:numId w:val="0"/>
        </w:numPr>
        <w:tabs>
          <w:tab w:val="clear" w:pos="4320"/>
        </w:tabs>
        <w:ind w:left="0" w:hanging="0"/>
        <w:jc w:val="both"/>
        <w:outlineLvl w:val="0"/>
        <w:rPr/>
      </w:pPr>
      <w:r>
        <w:rPr/>
        <w:t>глава администрации</w:t>
      </w:r>
    </w:p>
    <w:p>
      <w:pPr>
        <w:pStyle w:val="Style19"/>
        <w:keepLines w:val="false"/>
        <w:numPr>
          <w:ilvl w:val="0"/>
          <w:numId w:val="0"/>
        </w:numPr>
        <w:tabs>
          <w:tab w:val="clear" w:pos="4320"/>
        </w:tabs>
        <w:ind w:left="0" w:hanging="0"/>
        <w:jc w:val="both"/>
        <w:outlineLvl w:val="0"/>
        <w:rPr/>
      </w:pPr>
      <w:r>
        <w:rPr/>
        <w:t>Красновишерского</w:t>
      </w:r>
    </w:p>
    <w:p>
      <w:pPr>
        <w:pStyle w:val="Style19"/>
        <w:keepLines w:val="false"/>
        <w:numPr>
          <w:ilvl w:val="0"/>
          <w:numId w:val="0"/>
        </w:numPr>
        <w:tabs>
          <w:tab w:val="clear" w:pos="4320"/>
        </w:tabs>
        <w:ind w:left="0" w:right="-427" w:hanging="0"/>
        <w:jc w:val="both"/>
        <w:outlineLvl w:val="0"/>
        <w:rPr/>
      </w:pPr>
      <w:r>
        <w:rPr/>
        <w:t>городского округа</w:t>
        <w:tab/>
        <w:tab/>
        <w:tab/>
        <w:tab/>
        <w:tab/>
        <w:tab/>
        <w:tab/>
        <w:t>Е.В. Верещагин</w:t>
      </w:r>
    </w:p>
    <w:p>
      <w:pPr>
        <w:pStyle w:val="Style19"/>
        <w:keepLines w:val="false"/>
        <w:numPr>
          <w:ilvl w:val="0"/>
          <w:numId w:val="0"/>
        </w:numPr>
        <w:tabs>
          <w:tab w:val="clear" w:pos="4320"/>
        </w:tabs>
        <w:ind w:left="0" w:right="-427" w:hanging="0"/>
        <w:jc w:val="both"/>
        <w:outlineLvl w:val="0"/>
        <w:rPr/>
      </w:pPr>
      <w:r>
        <w:rPr/>
      </w:r>
    </w:p>
    <w:p>
      <w:pPr>
        <w:pStyle w:val="Style19"/>
        <w:keepLines w:val="false"/>
        <w:numPr>
          <w:ilvl w:val="0"/>
          <w:numId w:val="0"/>
        </w:numPr>
        <w:tabs>
          <w:tab w:val="clear" w:pos="4320"/>
        </w:tabs>
        <w:ind w:left="0" w:right="-427" w:hanging="0"/>
        <w:jc w:val="both"/>
        <w:outlineLvl w:val="0"/>
        <w:rPr/>
      </w:pPr>
      <w:r>
        <w:rPr/>
      </w:r>
    </w:p>
    <w:p>
      <w:pPr>
        <w:pStyle w:val="Style19"/>
        <w:keepLines w:val="false"/>
        <w:numPr>
          <w:ilvl w:val="0"/>
          <w:numId w:val="0"/>
        </w:numPr>
        <w:tabs>
          <w:tab w:val="clear" w:pos="4320"/>
        </w:tabs>
        <w:ind w:left="0" w:right="-427" w:hanging="0"/>
        <w:jc w:val="both"/>
        <w:outlineLvl w:val="0"/>
        <w:rPr/>
      </w:pPr>
      <w:r>
        <w:rPr/>
      </w:r>
    </w:p>
    <w:p>
      <w:pPr>
        <w:pStyle w:val="Style19"/>
        <w:keepLines w:val="false"/>
        <w:numPr>
          <w:ilvl w:val="0"/>
          <w:numId w:val="0"/>
        </w:numPr>
        <w:tabs>
          <w:tab w:val="clear" w:pos="4320"/>
        </w:tabs>
        <w:ind w:left="0" w:right="-427" w:hanging="0"/>
        <w:jc w:val="both"/>
        <w:outlineLvl w:val="0"/>
        <w:rPr/>
      </w:pPr>
      <w:r>
        <w:rPr/>
      </w:r>
    </w:p>
    <w:p>
      <w:pPr>
        <w:pStyle w:val="Style19"/>
        <w:keepLines w:val="false"/>
        <w:numPr>
          <w:ilvl w:val="0"/>
          <w:numId w:val="0"/>
        </w:numPr>
        <w:tabs>
          <w:tab w:val="clear" w:pos="4320"/>
        </w:tabs>
        <w:ind w:left="0" w:right="-427" w:hanging="0"/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firstLine="709"/>
        <w:jc w:val="center"/>
        <w:textAlignment w:val="baseline"/>
        <w:outlineLvl w:val="2"/>
        <w:rPr>
          <w:rFonts w:ascii="Times New Roman" w:hAnsi="Times New Roman" w:eastAsia="Times New Roman" w:cs="Times New Roman"/>
          <w:b/>
          <w:b/>
          <w:color w:val="4C4C4C"/>
          <w:spacing w:val="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4C4C4C"/>
          <w:spacing w:val="1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firstLine="709"/>
        <w:jc w:val="center"/>
        <w:textAlignment w:val="baseline"/>
        <w:outlineLvl w:val="2"/>
        <w:rPr>
          <w:rFonts w:ascii="Times New Roman" w:hAnsi="Times New Roman" w:eastAsia="Times New Roman" w:cs="Times New Roman"/>
          <w:b/>
          <w:b/>
          <w:color w:val="4C4C4C"/>
          <w:spacing w:val="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4C4C4C"/>
          <w:spacing w:val="1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firstLine="709"/>
        <w:jc w:val="center"/>
        <w:textAlignment w:val="baseline"/>
        <w:outlineLvl w:val="2"/>
        <w:rPr>
          <w:rFonts w:ascii="Times New Roman" w:hAnsi="Times New Roman" w:eastAsia="Times New Roman" w:cs="Times New Roman"/>
          <w:b/>
          <w:b/>
          <w:color w:val="4C4C4C"/>
          <w:spacing w:val="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4C4C4C"/>
          <w:spacing w:val="1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firstLine="709"/>
        <w:jc w:val="center"/>
        <w:textAlignment w:val="baseline"/>
        <w:outlineLvl w:val="2"/>
        <w:rPr>
          <w:rFonts w:ascii="Times New Roman" w:hAnsi="Times New Roman" w:eastAsia="Times New Roman" w:cs="Times New Roman"/>
          <w:b/>
          <w:b/>
          <w:color w:val="4C4C4C"/>
          <w:spacing w:val="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4C4C4C"/>
          <w:spacing w:val="1"/>
          <w:sz w:val="28"/>
          <w:szCs w:val="28"/>
        </w:rPr>
      </w:r>
    </w:p>
    <w:p>
      <w:pPr>
        <w:pStyle w:val="ConsPlusNonformat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УТВЕРЖДЕНО</w:t>
      </w:r>
    </w:p>
    <w:p>
      <w:pPr>
        <w:pStyle w:val="ConsPlusNonformat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постановлением</w:t>
      </w:r>
    </w:p>
    <w:p>
      <w:pPr>
        <w:pStyle w:val="ConsPlusNonformat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администрации </w:t>
      </w:r>
    </w:p>
    <w:p>
      <w:pPr>
        <w:pStyle w:val="ConsPlusNonformat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Красновишерского </w:t>
      </w:r>
    </w:p>
    <w:p>
      <w:pPr>
        <w:pStyle w:val="ConsPlusNonformat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городского округа</w:t>
      </w:r>
    </w:p>
    <w:p>
      <w:pPr>
        <w:pStyle w:val="ConsPlusNonformat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00.00.2021 № </w:t>
      </w:r>
    </w:p>
    <w:p>
      <w:pPr>
        <w:pStyle w:val="ConsPlusNonformat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firstLine="709"/>
        <w:jc w:val="center"/>
        <w:textAlignment w:val="baseline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ПОЛОЖЕНИЕ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firstLine="709"/>
        <w:jc w:val="center"/>
        <w:textAlignment w:val="baseline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 комиссии по назначению пенсии за выслугу лет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firstLine="709"/>
        <w:jc w:val="center"/>
        <w:textAlignment w:val="baseline"/>
        <w:outlineLvl w:val="2"/>
        <w:rPr>
          <w:rFonts w:ascii="Times New Roman" w:hAnsi="Times New Roman" w:eastAsia="Times New Roman" w:cs="Times New Roman"/>
          <w:b/>
          <w:b/>
          <w:color w:val="4C4C4C"/>
          <w:spacing w:val="1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 администрации Красновишерского </w:t>
      </w:r>
      <w:r>
        <w:rPr>
          <w:rFonts w:eastAsia="Times New Roman" w:cs="Times New Roman" w:ascii="Times New Roman" w:hAnsi="Times New Roman"/>
          <w:b/>
          <w:color w:val="4C4C4C"/>
          <w:spacing w:val="1"/>
          <w:sz w:val="28"/>
          <w:szCs w:val="28"/>
        </w:rPr>
        <w:t xml:space="preserve"> городского округа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firstLine="709"/>
        <w:jc w:val="center"/>
        <w:textAlignment w:val="baseline"/>
        <w:outlineLvl w:val="2"/>
        <w:rPr>
          <w:rFonts w:ascii="Times New Roman" w:hAnsi="Times New Roman" w:eastAsia="Times New Roman" w:cs="Times New Roman"/>
          <w:b/>
          <w:b/>
          <w:color w:val="4C4C4C"/>
          <w:spacing w:val="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4C4C4C"/>
          <w:spacing w:val="1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0"/>
        <w:ind w:left="1429" w:hanging="0"/>
        <w:contextualSpacing/>
        <w:jc w:val="center"/>
        <w:textAlignment w:val="baseline"/>
        <w:outlineLvl w:val="2"/>
        <w:rPr>
          <w:rFonts w:ascii="Times New Roman" w:hAnsi="Times New Roman" w:eastAsia="Times New Roman" w:cs="Times New Roman"/>
          <w:b/>
          <w:b/>
          <w:color w:val="4C4C4C"/>
          <w:spacing w:val="1"/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b/>
          <w:color w:val="4C4C4C"/>
          <w:spacing w:val="1"/>
          <w:sz w:val="28"/>
          <w:szCs w:val="28"/>
          <w:lang w:val="en-US"/>
        </w:rPr>
        <w:t xml:space="preserve">I. </w:t>
      </w:r>
      <w:r>
        <w:rPr>
          <w:rFonts w:eastAsia="Times New Roman" w:cs="Times New Roman" w:ascii="Times New Roman" w:hAnsi="Times New Roman"/>
          <w:b/>
          <w:color w:val="4C4C4C"/>
          <w:spacing w:val="1"/>
          <w:sz w:val="28"/>
          <w:szCs w:val="28"/>
          <w:lang w:val="ru-RU"/>
        </w:rPr>
        <w:t>Общие положения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</w:r>
      <w:r>
        <w:rPr>
          <w:rFonts w:cs="Times New Roman" w:ascii="Times New Roman" w:hAnsi="Times New Roman"/>
          <w:sz w:val="28"/>
          <w:szCs w:val="28"/>
        </w:rPr>
        <w:t xml:space="preserve">1 </w:t>
      </w:r>
      <w:r>
        <w:rPr>
          <w:rFonts w:cs="Times New Roman" w:ascii="Times New Roman" w:hAnsi="Times New Roman"/>
          <w:sz w:val="28"/>
          <w:szCs w:val="28"/>
        </w:rPr>
        <w:t xml:space="preserve">Настоящее Положение определяет функции, порядок формирования и деятельности Комиссии по назначению пенсии за выслугу лет </w:t>
      </w:r>
      <w:r>
        <w:rPr>
          <w:rFonts w:cs="Times New Roman" w:ascii="Times New Roman" w:hAnsi="Times New Roman"/>
          <w:sz w:val="28"/>
          <w:szCs w:val="28"/>
        </w:rPr>
        <w:t xml:space="preserve">в </w:t>
      </w:r>
      <w:r>
        <w:rPr>
          <w:rFonts w:cs="Times New Roman" w:ascii="Times New Roman" w:hAnsi="Times New Roman"/>
          <w:sz w:val="28"/>
          <w:szCs w:val="28"/>
        </w:rPr>
        <w:t xml:space="preserve"> администрации Красновишерского городского округа (далее - Комиссия).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Комиссия является совещательным органом, созданным в администрации Красновишерского городского округа в целях принятия решения о наличии или отсутствии оснований для назначения пенсии за выслугу лет </w:t>
      </w:r>
      <w:r>
        <w:rPr>
          <w:rFonts w:cs="Times New Roman" w:ascii="Times New Roman" w:hAnsi="Times New Roman"/>
          <w:sz w:val="28"/>
          <w:szCs w:val="28"/>
        </w:rPr>
        <w:t>к страховой пенсии по старости (далее — пенсия за выслугу лет),</w:t>
      </w:r>
      <w:r>
        <w:rPr>
          <w:rFonts w:cs="Times New Roman" w:ascii="Times New Roman" w:hAnsi="Times New Roman"/>
          <w:sz w:val="28"/>
          <w:szCs w:val="28"/>
        </w:rPr>
        <w:t xml:space="preserve"> назначении пенсии за выслугу лет или об отказе в </w:t>
      </w:r>
      <w:r>
        <w:rPr>
          <w:rFonts w:cs="Times New Roman" w:ascii="Times New Roman" w:hAnsi="Times New Roman"/>
          <w:sz w:val="28"/>
          <w:szCs w:val="28"/>
        </w:rPr>
        <w:t xml:space="preserve">ее </w:t>
      </w:r>
      <w:r>
        <w:rPr>
          <w:rFonts w:cs="Times New Roman" w:ascii="Times New Roman" w:hAnsi="Times New Roman"/>
          <w:sz w:val="28"/>
          <w:szCs w:val="28"/>
        </w:rPr>
        <w:t>назначении.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Комиссия в своей деятельности руководствуется </w:t>
      </w:r>
      <w:hyperlink r:id="rId3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eastAsia=""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Федеральны</w:t>
      </w:r>
      <w:r>
        <w:rPr>
          <w:rFonts w:eastAsia=""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м</w:t>
      </w:r>
      <w:r>
        <w:rPr>
          <w:rFonts w:eastAsia=""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 закон</w:t>
      </w:r>
      <w:r>
        <w:rPr>
          <w:rFonts w:eastAsia=""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ом</w:t>
      </w:r>
      <w:r>
        <w:rPr>
          <w:rFonts w:eastAsia=""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 от 15 </w:t>
      </w:r>
      <w:r>
        <w:rPr>
          <w:rFonts w:eastAsia=""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декабря </w:t>
      </w:r>
      <w:r>
        <w:rPr>
          <w:rFonts w:eastAsia=""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2001 </w:t>
      </w:r>
      <w:r>
        <w:rPr>
          <w:rFonts w:eastAsia=""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>№</w:t>
      </w:r>
      <w:r>
        <w:rPr>
          <w:rFonts w:eastAsia=""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ru-RU" w:bidi="ar-SA"/>
        </w:rPr>
        <w:t xml:space="preserve"> 166-ФЗ «О государственном пенсионном обеспечении в Российской Федерации», </w:t>
      </w:r>
      <w:hyperlink r:id="rId4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Федеральным законом от 2 марта 2007 г. № 25-ФЗ «О муниципальной службе в Российской Федерации</w:t>
        </w:r>
      </w:hyperlink>
      <w:r>
        <w:rPr>
          <w:rFonts w:cs="Times New Roman" w:ascii="Times New Roman" w:hAnsi="Times New Roman"/>
          <w:sz w:val="28"/>
          <w:szCs w:val="28"/>
        </w:rPr>
        <w:t xml:space="preserve">», </w:t>
      </w:r>
      <w:hyperlink r:id="rId5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 xml:space="preserve">Федеральным законом от 28 декабря 2013 г. № 400-ФЗ «О </w:t>
        </w:r>
      </w:hyperlink>
      <w:r>
        <w:rPr>
          <w:rFonts w:cs="Times New Roman" w:ascii="Times New Roman" w:hAnsi="Times New Roman"/>
          <w:sz w:val="28"/>
          <w:szCs w:val="28"/>
        </w:rPr>
        <w:t xml:space="preserve">страховых пенсиях», Законом Пермской области от 15 января 2001 г. № 1299-199 «О пенсии за выслугу лет лицам, замещавшим муниципальные должности муниципальной службы в муниципальных образованиях Пермской области», Законом Пермской области от 15 января 2001 г. № 1300-200 «О пенсии за выслугу лет лицам, замещавшим выборные муниципальные должности в муниципальных образованиях Пермской области», </w:t>
      </w:r>
      <w:hyperlink r:id="rId6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 xml:space="preserve">Законом Пермского края от 04 мая 2008 г. № 228-ПК «О муниципальной службе в </w:t>
        </w:r>
      </w:hyperlink>
      <w:r>
        <w:rPr>
          <w:rFonts w:cs="Times New Roman" w:ascii="Times New Roman" w:hAnsi="Times New Roman"/>
          <w:sz w:val="28"/>
          <w:szCs w:val="28"/>
        </w:rPr>
        <w:t xml:space="preserve">Пермском крае», Законом Пермского края от 09 декабря 2009 г. № 545-ПК «О пенсии за выслугу лет лицам, замещавшим должности государственной гражданской и муниципальной службы Пермской области, Коми-Пермяцкого автономного округа, Пермского края», Законом Пермского края от 09 декабря 2009 № 546-ПК «О пенсии за выслугу лет лицам, замещавшим  государственные должности Пермской области, Коми-Пермяцкого автономного округа, Пермского края и муниципальные должности в муниципальных образованиях  Пермской области, Коми-Пермяцкого автономного округа, Пермского края», иными законодательными актами Российской Федерации, Пермского края (Пермской области), муниципальными правовыми актами Красновишерского </w:t>
      </w:r>
      <w:r>
        <w:rPr>
          <w:rFonts w:cs="Times New Roman" w:ascii="Times New Roman" w:hAnsi="Times New Roman"/>
          <w:sz w:val="28"/>
          <w:szCs w:val="28"/>
        </w:rPr>
        <w:t>городского округа</w:t>
      </w:r>
      <w:r>
        <w:rPr>
          <w:rFonts w:cs="Times New Roman" w:ascii="Times New Roman" w:hAnsi="Times New Roman"/>
          <w:sz w:val="28"/>
          <w:szCs w:val="28"/>
        </w:rPr>
        <w:t>, настоящим Положением.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firstLine="709"/>
        <w:jc w:val="center"/>
        <w:textAlignment w:val="baseline"/>
        <w:outlineLvl w:val="2"/>
        <w:rPr>
          <w:rFonts w:ascii="Times New Roman" w:hAnsi="Times New Roman" w:eastAsia="Times New Roman" w:cs="Times New Roman"/>
          <w:b/>
          <w:b/>
          <w:color w:val="4C4C4C"/>
          <w:spacing w:val="1"/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b/>
          <w:color w:val="4C4C4C"/>
          <w:spacing w:val="1"/>
          <w:sz w:val="28"/>
          <w:szCs w:val="28"/>
          <w:lang w:val="en-US"/>
        </w:rPr>
        <w:t>II.</w:t>
      </w:r>
      <w:r>
        <w:rPr>
          <w:rFonts w:eastAsia="Times New Roman" w:cs="Times New Roman" w:ascii="Times New Roman" w:hAnsi="Times New Roman"/>
          <w:b/>
          <w:color w:val="4C4C4C"/>
          <w:spacing w:val="1"/>
          <w:sz w:val="28"/>
          <w:szCs w:val="28"/>
          <w:lang w:val="ru-RU"/>
        </w:rPr>
        <w:t xml:space="preserve"> Задачи и функции Комиссии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firstLine="709"/>
        <w:jc w:val="center"/>
        <w:textAlignment w:val="baseline"/>
        <w:outlineLvl w:val="2"/>
        <w:rPr>
          <w:rFonts w:ascii="Times New Roman" w:hAnsi="Times New Roman" w:eastAsia="Times New Roman" w:cs="Times New Roman"/>
          <w:b/>
          <w:b/>
          <w:color w:val="4C4C4C"/>
          <w:spacing w:val="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2.1 Основной задачей Комиссии является принятие решения о праве на пенсию за выслугу лет </w:t>
      </w:r>
      <w:r>
        <w:rPr>
          <w:rFonts w:cs="Times New Roman" w:ascii="Times New Roman" w:hAnsi="Times New Roman"/>
          <w:sz w:val="28"/>
          <w:szCs w:val="28"/>
        </w:rPr>
        <w:t>лицам, замещавшим муниципальные должности, должности муниципальной службы в</w:t>
      </w:r>
      <w:r>
        <w:rPr>
          <w:rFonts w:cs="Times New Roman" w:ascii="Times New Roman" w:hAnsi="Times New Roman"/>
          <w:sz w:val="28"/>
          <w:szCs w:val="28"/>
        </w:rPr>
        <w:t xml:space="preserve"> орган</w:t>
      </w:r>
      <w:r>
        <w:rPr>
          <w:rFonts w:cs="Times New Roman" w:ascii="Times New Roman" w:hAnsi="Times New Roman"/>
          <w:sz w:val="28"/>
          <w:szCs w:val="28"/>
        </w:rPr>
        <w:t>ах</w:t>
      </w:r>
      <w:r>
        <w:rPr>
          <w:rFonts w:cs="Times New Roman" w:ascii="Times New Roman" w:hAnsi="Times New Roman"/>
          <w:sz w:val="28"/>
          <w:szCs w:val="28"/>
        </w:rPr>
        <w:t xml:space="preserve"> местного самоуправления Красновишерского городского </w:t>
      </w:r>
      <w:r>
        <w:rPr>
          <w:rFonts w:cs="Times New Roman" w:ascii="Times New Roman" w:hAnsi="Times New Roman"/>
          <w:sz w:val="28"/>
          <w:szCs w:val="28"/>
        </w:rPr>
        <w:t xml:space="preserve">округа и </w:t>
      </w:r>
      <w:r>
        <w:rPr>
          <w:rFonts w:cs="Times New Roman" w:ascii="Times New Roman" w:hAnsi="Times New Roman"/>
          <w:sz w:val="28"/>
          <w:szCs w:val="28"/>
        </w:rPr>
        <w:t xml:space="preserve">в органах, </w:t>
      </w:r>
      <w:r>
        <w:rPr>
          <w:rFonts w:cs="Times New Roman" w:ascii="Times New Roman" w:hAnsi="Times New Roman"/>
          <w:sz w:val="28"/>
          <w:szCs w:val="28"/>
        </w:rPr>
        <w:t>правопреемником которых является</w:t>
      </w:r>
      <w:r>
        <w:rPr>
          <w:rFonts w:cs="Times New Roman" w:ascii="Times New Roman" w:hAnsi="Times New Roman"/>
          <w:sz w:val="28"/>
          <w:szCs w:val="28"/>
        </w:rPr>
        <w:t xml:space="preserve"> Красновишерск</w:t>
      </w:r>
      <w:r>
        <w:rPr>
          <w:rFonts w:cs="Times New Roman" w:ascii="Times New Roman" w:hAnsi="Times New Roman"/>
          <w:sz w:val="28"/>
          <w:szCs w:val="28"/>
        </w:rPr>
        <w:t>ий</w:t>
      </w:r>
      <w:r>
        <w:rPr>
          <w:rFonts w:cs="Times New Roman" w:ascii="Times New Roman" w:hAnsi="Times New Roman"/>
          <w:sz w:val="28"/>
          <w:szCs w:val="28"/>
        </w:rPr>
        <w:t xml:space="preserve"> городско</w:t>
      </w:r>
      <w:r>
        <w:rPr>
          <w:rFonts w:cs="Times New Roman" w:ascii="Times New Roman" w:hAnsi="Times New Roman"/>
          <w:sz w:val="28"/>
          <w:szCs w:val="28"/>
        </w:rPr>
        <w:t>й</w:t>
      </w:r>
      <w:r>
        <w:rPr>
          <w:rFonts w:cs="Times New Roman" w:ascii="Times New Roman" w:hAnsi="Times New Roman"/>
          <w:sz w:val="28"/>
          <w:szCs w:val="28"/>
        </w:rPr>
        <w:t xml:space="preserve"> округ, а также</w:t>
      </w:r>
      <w:r>
        <w:rPr>
          <w:rFonts w:cs="Times New Roman" w:ascii="Times New Roman" w:hAnsi="Times New Roman"/>
          <w:sz w:val="28"/>
          <w:szCs w:val="28"/>
        </w:rPr>
        <w:t xml:space="preserve"> определение размера </w:t>
      </w:r>
      <w:r>
        <w:rPr>
          <w:rFonts w:cs="Times New Roman" w:ascii="Times New Roman" w:hAnsi="Times New Roman"/>
          <w:sz w:val="28"/>
          <w:szCs w:val="28"/>
        </w:rPr>
        <w:t>пенсии за выс</w:t>
      </w:r>
      <w:r>
        <w:rPr>
          <w:rFonts w:cs="Times New Roman" w:ascii="Times New Roman" w:hAnsi="Times New Roman"/>
          <w:sz w:val="28"/>
          <w:szCs w:val="28"/>
        </w:rPr>
        <w:t>лугу лет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 Для реализации основной задачи Комиссия осуществляет следующие функции: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2.2.1 рассматривает основания для назначения пенсии, подтверждает стаж муниципальной службы (далее стаж), установленный комиссией по установлению стажа муниципальной службы, дающ</w:t>
      </w:r>
      <w:r>
        <w:rPr>
          <w:rFonts w:cs="Times New Roman" w:ascii="Times New Roman" w:hAnsi="Times New Roman"/>
          <w:sz w:val="28"/>
          <w:szCs w:val="28"/>
        </w:rPr>
        <w:t>его</w:t>
      </w:r>
      <w:r>
        <w:rPr>
          <w:rFonts w:cs="Times New Roman" w:ascii="Times New Roman" w:hAnsi="Times New Roman"/>
          <w:sz w:val="28"/>
          <w:szCs w:val="28"/>
        </w:rPr>
        <w:t xml:space="preserve"> право на назначение пенсии за выслугу лет, устанавливает размер пенсии за выслугу лет и дату, с которой она назначается;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2.2.2 принимает решение: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размере пенсии за выслугу лет;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перерасчете размера пенсии за выслугу лет;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удержании излишне выплаченных сумм пенсии за выслугу лет;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выплате недополученных сумм пенсии за выслугу лет в связи со смертью получателя;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прекращении выплаты пенсии за выслугу лет.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2.2.3 осуществляет иные функции в соответствии с законодательством.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b/>
          <w:sz w:val="28"/>
          <w:szCs w:val="28"/>
        </w:rPr>
        <w:t>Порядок формирования</w:t>
      </w:r>
      <w:r>
        <w:rPr>
          <w:rFonts w:cs="Times New Roman" w:ascii="Times New Roman" w:hAnsi="Times New Roman"/>
          <w:b/>
          <w:sz w:val="28"/>
          <w:szCs w:val="28"/>
        </w:rPr>
        <w:t xml:space="preserve"> Комиссии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.1  </w:t>
      </w:r>
      <w:r>
        <w:rPr>
          <w:rFonts w:cs="Times New Roman" w:ascii="Times New Roman" w:hAnsi="Times New Roman"/>
          <w:sz w:val="28"/>
          <w:szCs w:val="28"/>
        </w:rPr>
        <w:t xml:space="preserve">Комиссия формируется в составе председателя Комиссии, секретаря и членов Комиссии. </w:t>
      </w:r>
      <w:r>
        <w:rPr>
          <w:rFonts w:cs="Times New Roman" w:ascii="Times New Roman" w:hAnsi="Times New Roman"/>
          <w:sz w:val="28"/>
          <w:szCs w:val="28"/>
        </w:rPr>
        <w:t xml:space="preserve">Количественный </w:t>
      </w:r>
      <w:r>
        <w:rPr>
          <w:rFonts w:cs="Times New Roman" w:ascii="Times New Roman" w:hAnsi="Times New Roman"/>
          <w:sz w:val="28"/>
          <w:szCs w:val="28"/>
        </w:rPr>
        <w:t xml:space="preserve">состав членов Комиссии должен быть не менее 5 человек. </w:t>
      </w:r>
      <w:r>
        <w:rPr>
          <w:rFonts w:cs="Times New Roman" w:ascii="Times New Roman" w:hAnsi="Times New Roman"/>
          <w:sz w:val="28"/>
          <w:szCs w:val="28"/>
        </w:rPr>
        <w:t xml:space="preserve">Персональный состав </w:t>
      </w:r>
      <w:r>
        <w:rPr>
          <w:rFonts w:cs="Times New Roman" w:ascii="Times New Roman" w:hAnsi="Times New Roman"/>
          <w:sz w:val="28"/>
          <w:szCs w:val="28"/>
        </w:rPr>
        <w:t>Комисси</w:t>
      </w:r>
      <w:r>
        <w:rPr>
          <w:rFonts w:cs="Times New Roman" w:ascii="Times New Roman" w:hAnsi="Times New Roman"/>
          <w:sz w:val="28"/>
          <w:szCs w:val="28"/>
        </w:rPr>
        <w:t>и утверждается распорядительным актом</w:t>
      </w:r>
      <w:r>
        <w:rPr>
          <w:rFonts w:cs="Times New Roman" w:ascii="Times New Roman" w:hAnsi="Times New Roman"/>
          <w:sz w:val="28"/>
          <w:szCs w:val="28"/>
        </w:rPr>
        <w:t xml:space="preserve"> администрации </w:t>
      </w:r>
      <w:r>
        <w:rPr>
          <w:rFonts w:cs="Times New Roman" w:ascii="Times New Roman" w:hAnsi="Times New Roman"/>
          <w:sz w:val="28"/>
          <w:szCs w:val="28"/>
        </w:rPr>
        <w:t>Красновишер</w:t>
      </w:r>
      <w:r>
        <w:rPr>
          <w:rFonts w:cs="Times New Roman" w:ascii="Times New Roman" w:hAnsi="Times New Roman"/>
          <w:sz w:val="28"/>
          <w:szCs w:val="28"/>
        </w:rPr>
        <w:t>ского городского округа.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3.2 Комиссию возглавляет председатель. В период отсутствия председателя Комиссии его функции, права и обязанности осуществляет член Комиссии, назначенный председателем Комиссии.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Заседания Комиссии правомочны при участии не менее 2/3 от общего числа ее членов.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Председатель Комиссии: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организует работу Комиссии, назначает заседания Комиссии;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определяет повестку дня;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председательствует на заседаниях Комиссии;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подписывает протоколы заседаний Комиссии, выписки из протоколов.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</w:t>
      </w:r>
      <w:r>
        <w:rPr>
          <w:rFonts w:cs="Times New Roman" w:ascii="Times New Roman" w:hAnsi="Times New Roman"/>
          <w:sz w:val="28"/>
          <w:szCs w:val="28"/>
        </w:rPr>
        <w:t>5</w:t>
      </w:r>
      <w:r>
        <w:rPr>
          <w:rFonts w:cs="Times New Roman" w:ascii="Times New Roman" w:hAnsi="Times New Roman"/>
          <w:sz w:val="28"/>
          <w:szCs w:val="28"/>
        </w:rPr>
        <w:t xml:space="preserve"> Секретарь Комиссии: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формирует проект повестки дня заседания Комиссии, координирует работу по подготовке необходимых материалов к заседанию Комиссии, проектов соответствующих решений, ведет и оформляет протокол заседания Комиссии;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уведомляет членов Комиссии о дате, времени, месте проведения заседания и о повестке дня не позднее, чем за 2 рабочих дня до даты проведения заседания Комиссии, обеспечивает их необходимыми материалами;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обеспечивает информирование заявителя о принятом Комиссией решении;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обеспечивает ведение делопроизводства Комиссии, хранение протоколов заседаний Комиссии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осуществляет иные действия, связанные с организацией работы Комиссии.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color w:val="222222"/>
          <w:sz w:val="28"/>
          <w:szCs w:val="28"/>
        </w:rPr>
      </w:pPr>
      <w:r>
        <w:rPr>
          <w:rFonts w:eastAsia="Times New Roman" w:cs="Times New Roman" w:ascii="Times New Roman" w:hAnsi="Times New Roman"/>
          <w:color w:val="222222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center"/>
        <w:rPr>
          <w:rFonts w:ascii="Times New Roman" w:hAnsi="Times New Roman" w:eastAsia="Times New Roman" w:cs="Times New Roman"/>
          <w:b/>
          <w:b/>
          <w:color w:val="4C4C4C"/>
          <w:spacing w:val="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4C4C4C"/>
          <w:spacing w:val="1"/>
          <w:sz w:val="28"/>
          <w:szCs w:val="28"/>
          <w:lang w:val="en-US"/>
        </w:rPr>
        <w:t>IV</w:t>
      </w:r>
      <w:r>
        <w:rPr>
          <w:rFonts w:eastAsia="Times New Roman" w:cs="Times New Roman" w:ascii="Times New Roman" w:hAnsi="Times New Roman"/>
          <w:b/>
          <w:color w:val="4C4C4C"/>
          <w:spacing w:val="1"/>
          <w:sz w:val="28"/>
          <w:szCs w:val="28"/>
        </w:rPr>
        <w:t>. Права Комиссии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center"/>
        <w:rPr>
          <w:rFonts w:ascii="Times New Roman" w:hAnsi="Times New Roman" w:eastAsia="Times New Roman" w:cs="Times New Roman"/>
          <w:b/>
          <w:b/>
          <w:color w:val="4C4C4C"/>
          <w:spacing w:val="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4C4C4C"/>
          <w:spacing w:val="1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Комиссия имеет право: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 Проверять обоснованность выдачи документов, представленных для установления пенсии за выслугу лет.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 Производить при определении размера пенсии за выслугу лет уточнение стажа муниципальной службы лица, обратившегося за назначением пенсии за выслугу лет, а именно: производить зачет неправомерно не зачтенных периодов муниципальной службы, исключать  неправомерно включенные  в стаж муниципальной службы периоды.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 Принимать решения по определению размера пенсии за выслугу лет.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 При рассмотрении документов о выплате излишне начисленных денежных сумм получателю пенсии за выслугу лет принимать решение об удержании переплаченных сумм частично или полностью с учетом обстоятельств, из-за которых произошла переплата.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4.5 При рассмотрении документов о недоплате денежных сумм получателю пенсии за выслугу лет принимать решение о доплате недополученной суммы.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b/>
          <w:sz w:val="28"/>
          <w:szCs w:val="28"/>
        </w:rPr>
        <w:t>. Порядок работы Комиссии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 Заседания Комиссии проводятся по мере поступления заявлений о назначении пенсии за выслугу лет, в течение 15 рабочих дней со дня регистрации заявления.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 Комиссия рассматривает на своих заседаниях: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5.2.1 документы на установление пенсии за выслугу лет, предоставленные лицом, претендующим на назначение пенсии за выслугу лет;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5.2.2 заявление получателя пенсии за выслугу лет в случае удержания с него излишне выплаченных сумм.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5.3 Решения Комиссии принимаются большинством голосов присутствующих на заседании членов Комиссии путем открытого голосования. При голосовании каждый член Комиссии имеет один голос. В случае равенства голосов голос председательствующего является решающим.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5.4 Решения Комиссии в течение 5 рабочих дней со дня проведения заседания Комиссии оформляются протоколом, который подписывается присутствующими на заседании лицами.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5.5 По итогам заседания Комиссии готовится решение с указанием даты, с которой устанавливается пенсия, и стажа муниципальной службы, дающего право на пенсию, размера пенсии за выслугу лет. На основании указанного решения издается соответствующий распорядительный акт администрации района  о назначении пенсии за выслугу лет.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5.6 При отказе в установлении пенсии Комиссия выносит заключение с указанием мотивов отказа.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5.7 В течение 5 рабочих дней со дня проведения заседания Комиссии заявитель в письменной форме информируется о принятом Комиссией решении.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5.8 </w:t>
      </w:r>
      <w:r>
        <w:rPr>
          <w:rFonts w:cs="Times New Roman" w:ascii="Times New Roman" w:hAnsi="Times New Roman"/>
          <w:sz w:val="28"/>
          <w:szCs w:val="28"/>
        </w:rPr>
        <w:t>Н</w:t>
      </w:r>
      <w:r>
        <w:rPr>
          <w:rFonts w:cs="Times New Roman" w:ascii="Times New Roman" w:hAnsi="Times New Roman"/>
          <w:sz w:val="28"/>
          <w:szCs w:val="28"/>
        </w:rPr>
        <w:t>а заседание Комиссии может быть приглашен заявитель. Если заявитель не может прибыть на заседание Комиссии, Комиссия принимает решение в его отсутствие.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VI</w:t>
      </w:r>
      <w:r>
        <w:rPr>
          <w:rFonts w:cs="Times New Roman" w:ascii="Times New Roman" w:hAnsi="Times New Roman"/>
          <w:b/>
          <w:sz w:val="28"/>
          <w:szCs w:val="28"/>
        </w:rPr>
        <w:t>. Заключительные положения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6.1 Споры, связанные с установлением и выплатой пенсии за выслугу лет, рассматриваются Комиссией по заявлению получателя с прилагаемыми к нему необходимыми документами.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6.2 Споры, не урегулированные Комиссией, разрешаются в порядке, установленном действующим законодательством.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6.3 Организационно-документационное обеспечение деятельности Комиссии осуществляет сектор муниципальной службы и </w:t>
      </w:r>
      <w:r>
        <w:rPr>
          <w:rFonts w:cs="Times New Roman" w:ascii="Times New Roman" w:hAnsi="Times New Roman"/>
          <w:sz w:val="28"/>
          <w:szCs w:val="28"/>
        </w:rPr>
        <w:t>противодействия коррупции</w:t>
      </w:r>
      <w:r>
        <w:rPr>
          <w:rFonts w:cs="Times New Roman" w:ascii="Times New Roman" w:hAnsi="Times New Roman"/>
          <w:sz w:val="28"/>
          <w:szCs w:val="28"/>
        </w:rPr>
        <w:t xml:space="preserve"> администрации Красновишерского</w:t>
      </w:r>
      <w:r>
        <w:rPr>
          <w:rFonts w:cs="Times New Roman" w:ascii="Times New Roman" w:hAnsi="Times New Roman"/>
          <w:sz w:val="28"/>
          <w:szCs w:val="28"/>
        </w:rPr>
        <w:t xml:space="preserve"> городского округа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9"/>
        <w:keepLines w:val="false"/>
        <w:numPr>
          <w:ilvl w:val="0"/>
          <w:numId w:val="0"/>
        </w:numPr>
        <w:tabs>
          <w:tab w:val="clear" w:pos="4320"/>
        </w:tabs>
        <w:ind w:left="0" w:firstLine="5812"/>
        <w:jc w:val="both"/>
        <w:outlineLvl w:val="0"/>
        <w:rPr/>
      </w:pPr>
      <w:r>
        <w:rPr>
          <w:szCs w:val="28"/>
        </w:rPr>
        <w:br/>
        <w:br/>
        <w:br/>
        <w:br/>
        <w:br/>
      </w:r>
    </w:p>
    <w:p>
      <w:pPr>
        <w:pStyle w:val="Style19"/>
        <w:keepLines w:val="false"/>
        <w:numPr>
          <w:ilvl w:val="0"/>
          <w:numId w:val="0"/>
        </w:numPr>
        <w:tabs>
          <w:tab w:val="clear" w:pos="4320"/>
        </w:tabs>
        <w:ind w:left="0" w:firstLine="5812"/>
        <w:jc w:val="both"/>
        <w:outlineLvl w:val="0"/>
        <w:rPr/>
      </w:pPr>
      <w:r>
        <w:rPr/>
      </w:r>
    </w:p>
    <w:p>
      <w:pPr>
        <w:pStyle w:val="Style19"/>
        <w:keepLines w:val="false"/>
        <w:numPr>
          <w:ilvl w:val="0"/>
          <w:numId w:val="0"/>
        </w:numPr>
        <w:tabs>
          <w:tab w:val="clear" w:pos="4320"/>
        </w:tabs>
        <w:ind w:left="0" w:firstLine="5812"/>
        <w:jc w:val="both"/>
        <w:outlineLvl w:val="0"/>
        <w:rPr/>
      </w:pPr>
      <w:r>
        <w:rPr/>
      </w:r>
    </w:p>
    <w:p>
      <w:pPr>
        <w:pStyle w:val="Style19"/>
        <w:keepLines w:val="false"/>
        <w:numPr>
          <w:ilvl w:val="0"/>
          <w:numId w:val="0"/>
        </w:numPr>
        <w:tabs>
          <w:tab w:val="clear" w:pos="4320"/>
        </w:tabs>
        <w:ind w:left="0" w:firstLine="5812"/>
        <w:jc w:val="both"/>
        <w:outlineLvl w:val="0"/>
        <w:rPr/>
      </w:pPr>
      <w:r>
        <w:rPr/>
      </w:r>
    </w:p>
    <w:p>
      <w:pPr>
        <w:pStyle w:val="Style19"/>
        <w:keepLines w:val="false"/>
        <w:numPr>
          <w:ilvl w:val="0"/>
          <w:numId w:val="0"/>
        </w:numPr>
        <w:tabs>
          <w:tab w:val="clear" w:pos="4320"/>
        </w:tabs>
        <w:ind w:left="0" w:firstLine="5812"/>
        <w:jc w:val="both"/>
        <w:outlineLvl w:val="0"/>
        <w:rPr/>
      </w:pPr>
      <w:r>
        <w:rPr/>
      </w:r>
    </w:p>
    <w:p>
      <w:pPr>
        <w:pStyle w:val="Style19"/>
        <w:keepLines w:val="false"/>
        <w:numPr>
          <w:ilvl w:val="0"/>
          <w:numId w:val="0"/>
        </w:numPr>
        <w:tabs>
          <w:tab w:val="clear" w:pos="4320"/>
        </w:tabs>
        <w:ind w:left="0" w:firstLine="5812"/>
        <w:jc w:val="both"/>
        <w:outlineLvl w:val="0"/>
        <w:rPr/>
      </w:pPr>
      <w:r>
        <w:rPr/>
      </w:r>
    </w:p>
    <w:p>
      <w:pPr>
        <w:pStyle w:val="Style19"/>
        <w:keepLines w:val="false"/>
        <w:numPr>
          <w:ilvl w:val="0"/>
          <w:numId w:val="0"/>
        </w:numPr>
        <w:tabs>
          <w:tab w:val="clear" w:pos="4320"/>
        </w:tabs>
        <w:ind w:left="0" w:firstLine="5812"/>
        <w:jc w:val="both"/>
        <w:outlineLvl w:val="0"/>
        <w:rPr/>
      </w:pPr>
      <w:r>
        <w:rPr/>
      </w:r>
    </w:p>
    <w:p>
      <w:pPr>
        <w:pStyle w:val="Style19"/>
        <w:keepLines w:val="false"/>
        <w:numPr>
          <w:ilvl w:val="0"/>
          <w:numId w:val="0"/>
        </w:numPr>
        <w:tabs>
          <w:tab w:val="clear" w:pos="4320"/>
        </w:tabs>
        <w:ind w:left="0" w:firstLine="5812"/>
        <w:jc w:val="both"/>
        <w:outlineLvl w:val="0"/>
        <w:rPr/>
      </w:pPr>
      <w:r>
        <w:rPr/>
      </w:r>
    </w:p>
    <w:p>
      <w:pPr>
        <w:pStyle w:val="Style19"/>
        <w:keepLines w:val="false"/>
        <w:numPr>
          <w:ilvl w:val="0"/>
          <w:numId w:val="0"/>
        </w:numPr>
        <w:tabs>
          <w:tab w:val="clear" w:pos="4320"/>
        </w:tabs>
        <w:ind w:left="0" w:firstLine="5812"/>
        <w:jc w:val="both"/>
        <w:outlineLvl w:val="0"/>
        <w:rPr/>
      </w:pPr>
      <w:r>
        <w:rPr/>
      </w:r>
    </w:p>
    <w:p>
      <w:pPr>
        <w:pStyle w:val="Style19"/>
        <w:keepLines w:val="false"/>
        <w:numPr>
          <w:ilvl w:val="0"/>
          <w:numId w:val="0"/>
        </w:numPr>
        <w:tabs>
          <w:tab w:val="clear" w:pos="4320"/>
        </w:tabs>
        <w:ind w:left="0" w:firstLine="5812"/>
        <w:jc w:val="both"/>
        <w:outlineLvl w:val="0"/>
        <w:rPr/>
      </w:pPr>
      <w:r>
        <w:rPr/>
      </w:r>
    </w:p>
    <w:p>
      <w:pPr>
        <w:pStyle w:val="Style19"/>
        <w:keepLines w:val="false"/>
        <w:numPr>
          <w:ilvl w:val="0"/>
          <w:numId w:val="0"/>
        </w:numPr>
        <w:tabs>
          <w:tab w:val="clear" w:pos="4320"/>
        </w:tabs>
        <w:ind w:left="0" w:firstLine="5812"/>
        <w:jc w:val="both"/>
        <w:outlineLvl w:val="0"/>
        <w:rPr/>
      </w:pPr>
      <w:r>
        <w:rPr/>
      </w:r>
    </w:p>
    <w:p>
      <w:pPr>
        <w:pStyle w:val="Style19"/>
        <w:keepLines w:val="false"/>
        <w:numPr>
          <w:ilvl w:val="0"/>
          <w:numId w:val="0"/>
        </w:numPr>
        <w:tabs>
          <w:tab w:val="clear" w:pos="4320"/>
        </w:tabs>
        <w:ind w:left="0" w:firstLine="5812"/>
        <w:jc w:val="both"/>
        <w:outlineLvl w:val="0"/>
        <w:rPr/>
      </w:pPr>
      <w:r>
        <w:rPr/>
      </w:r>
    </w:p>
    <w:p>
      <w:pPr>
        <w:pStyle w:val="Style19"/>
        <w:keepLines w:val="false"/>
        <w:numPr>
          <w:ilvl w:val="0"/>
          <w:numId w:val="0"/>
        </w:numPr>
        <w:tabs>
          <w:tab w:val="clear" w:pos="4320"/>
        </w:tabs>
        <w:ind w:left="0" w:firstLine="5812"/>
        <w:jc w:val="both"/>
        <w:outlineLvl w:val="0"/>
        <w:rPr/>
      </w:pPr>
      <w:r>
        <w:rPr/>
      </w:r>
    </w:p>
    <w:p>
      <w:pPr>
        <w:pStyle w:val="Style19"/>
        <w:keepLines w:val="false"/>
        <w:numPr>
          <w:ilvl w:val="0"/>
          <w:numId w:val="0"/>
        </w:numPr>
        <w:tabs>
          <w:tab w:val="clear" w:pos="4320"/>
        </w:tabs>
        <w:ind w:left="0" w:firstLine="5812"/>
        <w:jc w:val="both"/>
        <w:outlineLvl w:val="0"/>
        <w:rPr/>
      </w:pPr>
      <w:r>
        <w:rPr/>
      </w:r>
    </w:p>
    <w:p>
      <w:pPr>
        <w:pStyle w:val="Style19"/>
        <w:keepLines w:val="false"/>
        <w:numPr>
          <w:ilvl w:val="0"/>
          <w:numId w:val="0"/>
        </w:numPr>
        <w:tabs>
          <w:tab w:val="clear" w:pos="4320"/>
        </w:tabs>
        <w:ind w:left="0" w:firstLine="5812"/>
        <w:jc w:val="both"/>
        <w:outlineLvl w:val="0"/>
        <w:rPr/>
      </w:pPr>
      <w:r>
        <w:rPr/>
      </w:r>
    </w:p>
    <w:p>
      <w:pPr>
        <w:pStyle w:val="Style19"/>
        <w:keepLines w:val="false"/>
        <w:numPr>
          <w:ilvl w:val="0"/>
          <w:numId w:val="0"/>
        </w:numPr>
        <w:tabs>
          <w:tab w:val="clear" w:pos="4320"/>
        </w:tabs>
        <w:ind w:left="0" w:firstLine="5812"/>
        <w:jc w:val="both"/>
        <w:outlineLvl w:val="0"/>
        <w:rPr/>
      </w:pPr>
      <w:r>
        <w:rPr/>
      </w:r>
    </w:p>
    <w:p>
      <w:pPr>
        <w:pStyle w:val="Style19"/>
        <w:numPr>
          <w:ilvl w:val="0"/>
          <w:numId w:val="0"/>
        </w:numPr>
        <w:tabs>
          <w:tab w:val="clear" w:pos="4320"/>
        </w:tabs>
        <w:ind w:left="0" w:firstLine="5812"/>
        <w:jc w:val="both"/>
        <w:outlineLvl w:val="0"/>
        <w:rPr/>
      </w:pPr>
      <w:r>
        <w:rPr/>
      </w:r>
    </w:p>
    <w:p>
      <w:pPr>
        <w:pStyle w:val="Style19"/>
        <w:numPr>
          <w:ilvl w:val="0"/>
          <w:numId w:val="0"/>
        </w:numPr>
        <w:tabs>
          <w:tab w:val="clear" w:pos="4320"/>
        </w:tabs>
        <w:ind w:left="0" w:firstLine="5812"/>
        <w:jc w:val="both"/>
        <w:outlineLvl w:val="0"/>
        <w:rPr/>
      </w:pPr>
      <w:r>
        <w:rPr/>
      </w:r>
    </w:p>
    <w:p>
      <w:pPr>
        <w:pStyle w:val="Style19"/>
        <w:numPr>
          <w:ilvl w:val="0"/>
          <w:numId w:val="0"/>
        </w:numPr>
        <w:tabs>
          <w:tab w:val="clear" w:pos="4320"/>
        </w:tabs>
        <w:ind w:left="0" w:firstLine="5812"/>
        <w:jc w:val="both"/>
        <w:outlineLvl w:val="0"/>
        <w:rPr/>
      </w:pPr>
      <w:r>
        <w:rPr/>
      </w:r>
    </w:p>
    <w:p>
      <w:pPr>
        <w:pStyle w:val="Style19"/>
        <w:numPr>
          <w:ilvl w:val="0"/>
          <w:numId w:val="0"/>
        </w:numPr>
        <w:tabs>
          <w:tab w:val="clear" w:pos="4320"/>
        </w:tabs>
        <w:ind w:left="0" w:firstLine="5812"/>
        <w:jc w:val="both"/>
        <w:outlineLvl w:val="0"/>
        <w:rPr/>
      </w:pPr>
      <w:r>
        <w:rPr/>
        <w:t xml:space="preserve">УТВЕРЖДЕН </w:t>
      </w:r>
    </w:p>
    <w:p>
      <w:pPr>
        <w:pStyle w:val="Style19"/>
        <w:keepLines w:val="false"/>
        <w:numPr>
          <w:ilvl w:val="0"/>
          <w:numId w:val="0"/>
        </w:numPr>
        <w:tabs>
          <w:tab w:val="clear" w:pos="4320"/>
        </w:tabs>
        <w:ind w:left="0" w:firstLine="5812"/>
        <w:jc w:val="both"/>
        <w:outlineLvl w:val="0"/>
        <w:rPr/>
      </w:pPr>
      <w:r>
        <w:rPr/>
        <w:t>постановлением</w:t>
      </w:r>
    </w:p>
    <w:p>
      <w:pPr>
        <w:pStyle w:val="Style19"/>
        <w:keepLines w:val="false"/>
        <w:numPr>
          <w:ilvl w:val="0"/>
          <w:numId w:val="0"/>
        </w:numPr>
        <w:tabs>
          <w:tab w:val="clear" w:pos="4320"/>
        </w:tabs>
        <w:ind w:left="0" w:firstLine="5812"/>
        <w:jc w:val="both"/>
        <w:outlineLvl w:val="0"/>
        <w:rPr/>
      </w:pPr>
      <w:r>
        <w:rPr/>
        <w:t xml:space="preserve">администрации </w:t>
      </w:r>
    </w:p>
    <w:p>
      <w:pPr>
        <w:pStyle w:val="Style19"/>
        <w:keepLines w:val="false"/>
        <w:numPr>
          <w:ilvl w:val="0"/>
          <w:numId w:val="0"/>
        </w:numPr>
        <w:tabs>
          <w:tab w:val="clear" w:pos="4320"/>
        </w:tabs>
        <w:ind w:left="0" w:firstLine="5812"/>
        <w:jc w:val="both"/>
        <w:outlineLvl w:val="0"/>
        <w:rPr/>
      </w:pPr>
      <w:r>
        <w:rPr/>
        <w:t xml:space="preserve">Красновишерского </w:t>
      </w:r>
    </w:p>
    <w:p>
      <w:pPr>
        <w:pStyle w:val="Style19"/>
        <w:keepLines w:val="false"/>
        <w:numPr>
          <w:ilvl w:val="0"/>
          <w:numId w:val="0"/>
        </w:numPr>
        <w:tabs>
          <w:tab w:val="clear" w:pos="4320"/>
        </w:tabs>
        <w:ind w:left="0" w:firstLine="5812"/>
        <w:jc w:val="both"/>
        <w:outlineLvl w:val="0"/>
        <w:rPr/>
      </w:pPr>
      <w:r>
        <w:rPr/>
        <w:t>городского округа</w:t>
      </w:r>
    </w:p>
    <w:p>
      <w:pPr>
        <w:pStyle w:val="Style19"/>
        <w:keepLines w:val="false"/>
        <w:numPr>
          <w:ilvl w:val="0"/>
          <w:numId w:val="0"/>
        </w:numPr>
        <w:tabs>
          <w:tab w:val="clear" w:pos="4320"/>
        </w:tabs>
        <w:ind w:left="0" w:firstLine="5812"/>
        <w:jc w:val="both"/>
        <w:outlineLvl w:val="0"/>
        <w:rPr/>
      </w:pPr>
      <w:r>
        <w:rPr/>
        <w:t>от 00.00.20</w:t>
      </w:r>
      <w:r>
        <w:rPr/>
        <w:t>21</w:t>
      </w:r>
      <w:r>
        <w:rPr/>
        <w:t xml:space="preserve"> № __ </w:t>
      </w:r>
    </w:p>
    <w:p>
      <w:pPr>
        <w:pStyle w:val="Style19"/>
        <w:keepLines w:val="false"/>
        <w:numPr>
          <w:ilvl w:val="0"/>
          <w:numId w:val="0"/>
        </w:numPr>
        <w:tabs>
          <w:tab w:val="clear" w:pos="4320"/>
        </w:tabs>
        <w:ind w:left="0" w:hanging="0"/>
        <w:jc w:val="both"/>
        <w:outlineLvl w:val="0"/>
        <w:rPr/>
      </w:pPr>
      <w:r>
        <w:rPr/>
      </w:r>
    </w:p>
    <w:p>
      <w:pPr>
        <w:pStyle w:val="Style19"/>
        <w:keepLines w:val="false"/>
        <w:numPr>
          <w:ilvl w:val="0"/>
          <w:numId w:val="0"/>
        </w:numPr>
        <w:tabs>
          <w:tab w:val="clear" w:pos="4320"/>
        </w:tabs>
        <w:ind w:left="0" w:hanging="0"/>
        <w:jc w:val="both"/>
        <w:outlineLvl w:val="0"/>
        <w:rPr/>
      </w:pPr>
      <w:r>
        <w:rPr/>
      </w:r>
    </w:p>
    <w:p>
      <w:pPr>
        <w:pStyle w:val="Style19"/>
        <w:keepLines w:val="false"/>
        <w:numPr>
          <w:ilvl w:val="0"/>
          <w:numId w:val="0"/>
        </w:numPr>
        <w:tabs>
          <w:tab w:val="clear" w:pos="4320"/>
        </w:tabs>
        <w:ind w:left="0" w:hanging="0"/>
        <w:outlineLvl w:val="0"/>
        <w:rPr>
          <w:b/>
          <w:b/>
        </w:rPr>
      </w:pPr>
      <w:r>
        <w:rPr>
          <w:b/>
        </w:rPr>
        <w:t>СОСТАВ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комиссии по назначению пенсии за выслугу лет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в администрации Красновишерского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городского округа</w:t>
      </w:r>
    </w:p>
    <w:p>
      <w:pPr>
        <w:pStyle w:val="Style19"/>
        <w:keepLines w:val="false"/>
        <w:numPr>
          <w:ilvl w:val="0"/>
          <w:numId w:val="0"/>
        </w:numPr>
        <w:tabs>
          <w:tab w:val="clear" w:pos="4320"/>
        </w:tabs>
        <w:ind w:left="0" w:hanging="0"/>
        <w:outlineLvl w:val="0"/>
        <w:rPr/>
      </w:pPr>
      <w:r>
        <w:rPr/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21"/>
        <w:gridCol w:w="6549"/>
      </w:tblGrid>
      <w:tr>
        <w:trPr/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keepLines w:val="false"/>
              <w:numPr>
                <w:ilvl w:val="0"/>
                <w:numId w:val="0"/>
              </w:numPr>
              <w:tabs>
                <w:tab w:val="clear" w:pos="4320"/>
              </w:tabs>
              <w:ind w:left="0" w:hanging="0"/>
              <w:jc w:val="both"/>
              <w:outlineLvl w:val="0"/>
              <w:rPr/>
            </w:pPr>
            <w:r>
              <w:rPr/>
              <w:t>Председатель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keepLines w:val="false"/>
              <w:numPr>
                <w:ilvl w:val="0"/>
                <w:numId w:val="0"/>
              </w:numPr>
              <w:tabs>
                <w:tab w:val="clear" w:pos="4320"/>
              </w:tabs>
              <w:ind w:left="0" w:hanging="0"/>
              <w:jc w:val="both"/>
              <w:outlineLvl w:val="0"/>
              <w:rPr/>
            </w:pPr>
            <w:r>
              <w:rPr/>
              <w:t xml:space="preserve">заместитель главы администрации городского округа, </w:t>
            </w:r>
            <w:r>
              <w:rPr/>
              <w:t xml:space="preserve">руководитель аппарата </w:t>
            </w:r>
          </w:p>
        </w:tc>
      </w:tr>
      <w:tr>
        <w:trPr/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keepLines w:val="false"/>
              <w:numPr>
                <w:ilvl w:val="0"/>
                <w:numId w:val="0"/>
              </w:numPr>
              <w:tabs>
                <w:tab w:val="clear" w:pos="4320"/>
              </w:tabs>
              <w:ind w:left="0" w:hanging="0"/>
              <w:jc w:val="both"/>
              <w:outlineLvl w:val="0"/>
              <w:rPr/>
            </w:pPr>
            <w:r>
              <w:rPr/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keepLines w:val="false"/>
              <w:numPr>
                <w:ilvl w:val="0"/>
                <w:numId w:val="0"/>
              </w:numPr>
              <w:tabs>
                <w:tab w:val="clear" w:pos="4320"/>
              </w:tabs>
              <w:ind w:left="0" w:hanging="0"/>
              <w:jc w:val="both"/>
              <w:outlineLvl w:val="0"/>
              <w:rPr/>
            </w:pPr>
            <w:r>
              <w:rPr/>
            </w:r>
          </w:p>
        </w:tc>
      </w:tr>
      <w:tr>
        <w:trPr/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keepLines w:val="false"/>
              <w:numPr>
                <w:ilvl w:val="0"/>
                <w:numId w:val="0"/>
              </w:numPr>
              <w:tabs>
                <w:tab w:val="clear" w:pos="4320"/>
              </w:tabs>
              <w:ind w:left="0" w:hanging="0"/>
              <w:jc w:val="both"/>
              <w:outlineLvl w:val="0"/>
              <w:rPr/>
            </w:pPr>
            <w:r>
              <w:rPr/>
              <w:t>Секретарь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keepLines w:val="false"/>
              <w:numPr>
                <w:ilvl w:val="0"/>
                <w:numId w:val="0"/>
              </w:numPr>
              <w:tabs>
                <w:tab w:val="clear" w:pos="4320"/>
              </w:tabs>
              <w:ind w:left="0" w:hanging="0"/>
              <w:jc w:val="both"/>
              <w:outlineLvl w:val="0"/>
              <w:rPr/>
            </w:pPr>
            <w:r>
              <w:rPr/>
              <w:t xml:space="preserve">заведующий </w:t>
            </w:r>
            <w:r>
              <w:rPr/>
              <w:t>сектор</w:t>
            </w:r>
            <w:r>
              <w:rPr/>
              <w:t>ом</w:t>
            </w:r>
            <w:r>
              <w:rPr/>
              <w:t xml:space="preserve"> муниципальной службы и </w:t>
            </w:r>
            <w:r>
              <w:rPr/>
              <w:t>противодействия коррупции</w:t>
            </w:r>
          </w:p>
        </w:tc>
      </w:tr>
      <w:tr>
        <w:trPr/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keepLines w:val="false"/>
              <w:numPr>
                <w:ilvl w:val="0"/>
                <w:numId w:val="0"/>
              </w:numPr>
              <w:tabs>
                <w:tab w:val="clear" w:pos="4320"/>
              </w:tabs>
              <w:ind w:left="0" w:hanging="0"/>
              <w:jc w:val="both"/>
              <w:outlineLvl w:val="0"/>
              <w:rPr/>
            </w:pPr>
            <w:r>
              <w:rPr/>
              <w:t>Члены комиссии: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keepLines w:val="false"/>
              <w:numPr>
                <w:ilvl w:val="0"/>
                <w:numId w:val="0"/>
              </w:numPr>
              <w:tabs>
                <w:tab w:val="clear" w:pos="4320"/>
              </w:tabs>
              <w:ind w:left="0" w:hanging="0"/>
              <w:jc w:val="both"/>
              <w:outlineLvl w:val="0"/>
              <w:rPr/>
            </w:pPr>
            <w:r>
              <w:rPr/>
            </w:r>
          </w:p>
        </w:tc>
      </w:tr>
      <w:tr>
        <w:trPr/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keepLines w:val="false"/>
              <w:numPr>
                <w:ilvl w:val="0"/>
                <w:numId w:val="0"/>
              </w:numPr>
              <w:tabs>
                <w:tab w:val="clear" w:pos="4320"/>
              </w:tabs>
              <w:ind w:left="0" w:hanging="0"/>
              <w:jc w:val="both"/>
              <w:outlineLvl w:val="0"/>
              <w:rPr/>
            </w:pPr>
            <w:r>
              <w:rPr/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keepLines w:val="false"/>
              <w:numPr>
                <w:ilvl w:val="0"/>
                <w:numId w:val="0"/>
              </w:numPr>
              <w:tabs>
                <w:tab w:val="clear" w:pos="4320"/>
              </w:tabs>
              <w:ind w:left="0" w:hanging="0"/>
              <w:jc w:val="both"/>
              <w:outlineLvl w:val="0"/>
              <w:rPr/>
            </w:pPr>
            <w:r>
              <w:rPr/>
              <w:t xml:space="preserve">начальник правового  </w:t>
            </w:r>
            <w:r>
              <w:rPr/>
              <w:t>управления</w:t>
            </w:r>
          </w:p>
          <w:p>
            <w:pPr>
              <w:pStyle w:val="Style19"/>
              <w:numPr>
                <w:ilvl w:val="0"/>
                <w:numId w:val="0"/>
              </w:numPr>
              <w:tabs>
                <w:tab w:val="clear" w:pos="4320"/>
              </w:tabs>
              <w:ind w:left="0" w:hanging="0"/>
              <w:jc w:val="both"/>
              <w:outlineLvl w:val="0"/>
              <w:rPr/>
            </w:pPr>
            <w:r>
              <w:rPr/>
            </w:r>
          </w:p>
        </w:tc>
      </w:tr>
      <w:tr>
        <w:trPr/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keepLines w:val="false"/>
              <w:numPr>
                <w:ilvl w:val="0"/>
                <w:numId w:val="0"/>
              </w:numPr>
              <w:tabs>
                <w:tab w:val="clear" w:pos="4320"/>
              </w:tabs>
              <w:ind w:left="0" w:hanging="0"/>
              <w:jc w:val="both"/>
              <w:outlineLvl w:val="0"/>
              <w:rPr/>
            </w:pPr>
            <w:r>
              <w:rPr/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keepLines w:val="false"/>
              <w:numPr>
                <w:ilvl w:val="0"/>
                <w:numId w:val="0"/>
              </w:numPr>
              <w:tabs>
                <w:tab w:val="clear" w:pos="4320"/>
              </w:tabs>
              <w:ind w:left="0" w:hanging="0"/>
              <w:jc w:val="both"/>
              <w:outlineLvl w:val="0"/>
              <w:rPr/>
            </w:pPr>
            <w:r>
              <w:rPr>
                <w:sz w:val="28"/>
                <w:szCs w:val="28"/>
              </w:rPr>
              <w:t>заместитель начальника, начальник отдела учета, отчетности и контроля, главный бухгалтер финансового управления</w:t>
            </w:r>
          </w:p>
          <w:p>
            <w:pPr>
              <w:pStyle w:val="Style19"/>
              <w:numPr>
                <w:ilvl w:val="0"/>
                <w:numId w:val="0"/>
              </w:numPr>
              <w:tabs>
                <w:tab w:val="clear" w:pos="4320"/>
              </w:tabs>
              <w:ind w:left="0" w:hanging="0"/>
              <w:jc w:val="both"/>
              <w:outlineLvl w:val="0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3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keepLines w:val="false"/>
              <w:numPr>
                <w:ilvl w:val="0"/>
                <w:numId w:val="0"/>
              </w:numPr>
              <w:tabs>
                <w:tab w:val="clear" w:pos="4320"/>
              </w:tabs>
              <w:ind w:left="0" w:hanging="0"/>
              <w:jc w:val="both"/>
              <w:outlineLvl w:val="0"/>
              <w:rPr/>
            </w:pPr>
            <w:r>
              <w:rPr/>
            </w:r>
          </w:p>
        </w:tc>
        <w:tc>
          <w:tcPr>
            <w:tcW w:w="6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keepLines w:val="false"/>
              <w:numPr>
                <w:ilvl w:val="0"/>
                <w:numId w:val="0"/>
              </w:numPr>
              <w:tabs>
                <w:tab w:val="clear" w:pos="4320"/>
              </w:tabs>
              <w:ind w:left="0" w:hanging="0"/>
              <w:jc w:val="both"/>
              <w:outlineLvl w:val="0"/>
              <w:rPr/>
            </w:pPr>
            <w:r>
              <w:rPr>
                <w:sz w:val="28"/>
                <w:szCs w:val="28"/>
              </w:rPr>
              <w:t xml:space="preserve">консультант </w:t>
            </w:r>
            <w:r>
              <w:rPr>
                <w:sz w:val="28"/>
                <w:szCs w:val="28"/>
              </w:rPr>
              <w:t>сектор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муниципальной службы и </w:t>
            </w:r>
            <w:r>
              <w:rPr>
                <w:sz w:val="28"/>
                <w:szCs w:val="28"/>
              </w:rPr>
              <w:t>противодействия коррупции</w:t>
            </w:r>
          </w:p>
        </w:tc>
      </w:tr>
    </w:tbl>
    <w:p>
      <w:pPr>
        <w:pStyle w:val="Style19"/>
        <w:keepLines w:val="false"/>
        <w:numPr>
          <w:ilvl w:val="0"/>
          <w:numId w:val="0"/>
        </w:numPr>
        <w:tabs>
          <w:tab w:val="clear" w:pos="4320"/>
        </w:tabs>
        <w:ind w:left="0" w:hanging="0"/>
        <w:jc w:val="both"/>
        <w:outlineLvl w:val="0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426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714" w:hanging="100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2160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1429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0f5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e97401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3">
    <w:name w:val="Heading 3"/>
    <w:basedOn w:val="Normal"/>
    <w:link w:val="30"/>
    <w:uiPriority w:val="9"/>
    <w:qFormat/>
    <w:rsid w:val="00e97401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e97401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e97401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yle12">
    <w:name w:val="Интернет-ссылка"/>
    <w:basedOn w:val="DefaultParagraphFont"/>
    <w:uiPriority w:val="99"/>
    <w:unhideWhenUsed/>
    <w:rsid w:val="00e97401"/>
    <w:rPr>
      <w:color w:val="0000FF"/>
      <w:u w:val="single"/>
    </w:rPr>
  </w:style>
  <w:style w:type="character" w:styleId="Style13" w:customStyle="1">
    <w:name w:val="Нижний колонтитул Знак"/>
    <w:basedOn w:val="DefaultParagraphFont"/>
    <w:link w:val="a6"/>
    <w:uiPriority w:val="99"/>
    <w:semiHidden/>
    <w:qFormat/>
    <w:rsid w:val="000433f6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Formattext" w:customStyle="1">
    <w:name w:val="formattext"/>
    <w:basedOn w:val="Normal"/>
    <w:qFormat/>
    <w:rsid w:val="00e9740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66ee"/>
    <w:pPr>
      <w:spacing w:before="0" w:after="200"/>
      <w:ind w:left="720" w:hanging="0"/>
      <w:contextualSpacing/>
    </w:pPr>
    <w:rPr/>
  </w:style>
  <w:style w:type="paragraph" w:styleId="Style19" w:customStyle="1">
    <w:name w:val="Нижн.колонтитул первый"/>
    <w:qFormat/>
    <w:rsid w:val="000433f6"/>
    <w:pPr>
      <w:keepLines/>
      <w:widowControl/>
      <w:tabs>
        <w:tab w:val="clear" w:pos="720"/>
        <w:tab w:val="center" w:pos="4320" w:leader="none"/>
      </w:tabs>
      <w:suppressAutoHyphens w:val="true"/>
      <w:bidi w:val="0"/>
      <w:spacing w:lineRule="auto" w:line="240" w:before="0" w:after="0"/>
      <w:jc w:val="center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ConsPlusTitle" w:customStyle="1">
    <w:name w:val="ConsPlusTitle"/>
    <w:qFormat/>
    <w:rsid w:val="000433f6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Footer"/>
    <w:basedOn w:val="Normal"/>
    <w:link w:val="a7"/>
    <w:uiPriority w:val="99"/>
    <w:semiHidden/>
    <w:unhideWhenUsed/>
    <w:rsid w:val="000433f6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nformat" w:customStyle="1">
    <w:name w:val="ConsPlusNonformat"/>
    <w:qFormat/>
    <w:rsid w:val="00a67aef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ocs.cntd.ru/document/902030664" TargetMode="External"/><Relationship Id="rId3" Type="http://schemas.openxmlformats.org/officeDocument/2006/relationships/hyperlink" Target="http://docs.cntd.ru/document/9004937" TargetMode="External"/><Relationship Id="rId4" Type="http://schemas.openxmlformats.org/officeDocument/2006/relationships/hyperlink" Target="http://docs.cntd.ru/document/902030664" TargetMode="External"/><Relationship Id="rId5" Type="http://schemas.openxmlformats.org/officeDocument/2006/relationships/hyperlink" Target="http://docs.cntd.ru/document/901806803" TargetMode="External"/><Relationship Id="rId6" Type="http://schemas.openxmlformats.org/officeDocument/2006/relationships/hyperlink" Target="http://docs.cntd.ru/document/819007789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LibreOffice/6.4.6.2$Windows_X86_64 LibreOffice_project/0ce51a4fd21bff07a5c061082cc82c5ed232f115</Application>
  <Pages>1</Pages>
  <Words>1529</Words>
  <Characters>8721</Characters>
  <CharactersWithSpaces>10230</CharactersWithSpaces>
  <Paragraphs>20</Paragraphs>
  <Company>КонсультантПлюс Версия 4021.00.60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2021-12-24T14:20:00Z</dcterms:created>
  <dc:creator>nach_kadr</dc:creator>
  <dc:description/>
  <dc:language>ru-RU</dc:language>
  <cp:lastModifiedBy/>
  <cp:lastPrinted>2017-11-10T04:23:00Z</cp:lastPrinted>
  <dcterms:modified xsi:type="dcterms:W3CDTF">2021-12-24T14:30:08Z</dcterms:modified>
  <cp:revision>7</cp:revision>
  <dc:subject/>
  <dc:title>Федеральный закон от 15.12.2001 N 166-ФЗ(ред. от 22.12.2020)"О государственном пенсионном обеспечении в Российской Федерации"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4021.00.60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