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делам несовершеннолетних и защите их прав 12 июля 2016 года рассмотрено 7 вопросов: 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персональных делах несовершеннолетних и их законных представителей (рассмотрены административные протоколы по ч. 1 ст. 5.35 КоАП РФ – 6 материалов, ч. 1 ст. 6.9 КоАП РФ – 1 материал).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индивидуальные программы реабилитации семей, состоящих на учете в СОП и дополнения к ним.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2 случая жестокого обращения родителей в отношении несовершеннолетних детей, приняты меры по защите прав несовершеннолетних и организована коррекционная работа с родителями. 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председатель МЛРГ отчиталась о работе МЛРГ за первое полугодие 2016 года. Проведено 13 заседаний, рассмотрено 117 вопросов, из них по инициативе специалистов по координации - 70. Рассмотрено семей – 104, из них по причине ухудшения ситуации в семье – 45. За 6 месяцев 2016 года поставлено на учет в СОП 16 семей, 27 детей. Снято с учета СОП 28 семей, 50 детей. Утверждено программ реабилитации в отношении семьи 16. 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методические рекомендации </w:t>
      </w:r>
      <w:r w:rsidRPr="000919A4">
        <w:rPr>
          <w:sz w:val="28"/>
          <w:szCs w:val="28"/>
        </w:rPr>
        <w:t xml:space="preserve">по вопросам совершенствования индивидуальной профилактической работы с обучающимися с </w:t>
      </w:r>
      <w:proofErr w:type="spellStart"/>
      <w:r w:rsidRPr="000919A4">
        <w:rPr>
          <w:sz w:val="28"/>
          <w:szCs w:val="28"/>
        </w:rPr>
        <w:t>девиантным</w:t>
      </w:r>
      <w:proofErr w:type="spellEnd"/>
      <w:r w:rsidRPr="000919A4">
        <w:rPr>
          <w:sz w:val="28"/>
          <w:szCs w:val="28"/>
        </w:rPr>
        <w:t xml:space="preserve"> поведением.</w:t>
      </w:r>
      <w:r>
        <w:rPr>
          <w:sz w:val="28"/>
          <w:szCs w:val="28"/>
        </w:rPr>
        <w:t xml:space="preserve"> 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преступности за 6 месяцев 2016 года. По итогам 6 месяцев ПДН составлен 71 протокол об административных правонарушениях, в том числе на родителей за ненадлежащее исполнение родительских </w:t>
      </w:r>
      <w:proofErr w:type="gramStart"/>
      <w:r>
        <w:rPr>
          <w:sz w:val="28"/>
          <w:szCs w:val="28"/>
        </w:rPr>
        <w:t>обязанностей  по</w:t>
      </w:r>
      <w:proofErr w:type="gramEnd"/>
      <w:r>
        <w:rPr>
          <w:sz w:val="28"/>
          <w:szCs w:val="28"/>
        </w:rPr>
        <w:t xml:space="preserve"> воспитанию и содержанию детей. </w:t>
      </w:r>
    </w:p>
    <w:p w:rsidR="0000145F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2016 года на территории Красновишерского муниципального района совершено 10 преступлений, 11 общественно-опасных деяний и 10 административных правонарушений. Выявлено 10 преступлений по ст. 116 УК РФ по факту нанесения побоев несовершеннолетним. </w:t>
      </w:r>
    </w:p>
    <w:p w:rsidR="0000145F" w:rsidRPr="000919A4" w:rsidRDefault="0000145F" w:rsidP="000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проверяются места концентрации несовершеннолетних: Сбербанк России, магазины «Гермес», «Пятый», «</w:t>
      </w:r>
      <w:proofErr w:type="spellStart"/>
      <w:r>
        <w:rPr>
          <w:sz w:val="28"/>
          <w:szCs w:val="28"/>
        </w:rPr>
        <w:t>Деликат</w:t>
      </w:r>
      <w:proofErr w:type="spellEnd"/>
      <w:r>
        <w:rPr>
          <w:sz w:val="28"/>
          <w:szCs w:val="28"/>
        </w:rPr>
        <w:t xml:space="preserve">», остановочный комплект Голубой Дунай, п. нефтяники, клуб «Геолог», подъезды общежитий по ул. Спортивная, д. 18, ул. Советская, д.1, ул. Заводская, д. 11а, бары «Элит», «Отель», «Эверест». </w:t>
      </w:r>
    </w:p>
    <w:p w:rsidR="00D76D8D" w:rsidRDefault="00D76D8D">
      <w:bookmarkStart w:id="0" w:name="_GoBack"/>
      <w:bookmarkEnd w:id="0"/>
    </w:p>
    <w:sectPr w:rsidR="00D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5F"/>
    <w:rsid w:val="0000145F"/>
    <w:rsid w:val="00D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7A12-516D-475E-8A48-A716146F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2016-07-14T10:16:00Z</dcterms:created>
  <dcterms:modified xsi:type="dcterms:W3CDTF">2016-07-14T10:16:00Z</dcterms:modified>
</cp:coreProperties>
</file>